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01A3" w14:textId="05B4F339" w:rsidR="002E474A" w:rsidRPr="003146B6" w:rsidRDefault="00174E74" w:rsidP="002E474A">
      <w:pPr>
        <w:keepNext/>
        <w:spacing w:after="120"/>
        <w:jc w:val="right"/>
        <w:rPr>
          <w:rFonts w:cs="Arial"/>
          <w:i/>
          <w:sz w:val="16"/>
          <w:szCs w:val="16"/>
          <w:shd w:val="clear" w:color="auto" w:fill="BFBFBF"/>
        </w:rPr>
      </w:pPr>
      <w:r w:rsidRPr="003146B6">
        <w:rPr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47E48F2C" wp14:editId="265558E9">
            <wp:simplePos x="0" y="0"/>
            <wp:positionH relativeFrom="page">
              <wp:posOffset>811033</wp:posOffset>
            </wp:positionH>
            <wp:positionV relativeFrom="page">
              <wp:posOffset>318052</wp:posOffset>
            </wp:positionV>
            <wp:extent cx="1256306" cy="500622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DOR_150x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398" cy="50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452" w:rsidRPr="003146B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0B8E3" wp14:editId="5501B8ED">
                <wp:simplePos x="0" y="0"/>
                <wp:positionH relativeFrom="page">
                  <wp:posOffset>822960</wp:posOffset>
                </wp:positionH>
                <wp:positionV relativeFrom="page">
                  <wp:posOffset>868680</wp:posOffset>
                </wp:positionV>
                <wp:extent cx="612648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7BA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4.8pt;margin-top:68.4pt;width:482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" strokeweight="1pt">
                <w10:wrap anchorx="page" anchory="page"/>
              </v:shape>
            </w:pict>
          </mc:Fallback>
        </mc:AlternateContent>
      </w:r>
      <w:r w:rsidR="002E474A" w:rsidRPr="003146B6">
        <w:rPr>
          <w:i/>
          <w:sz w:val="16"/>
          <w:szCs w:val="16"/>
        </w:rPr>
        <w:t>Template T-</w:t>
      </w:r>
      <w:r w:rsidR="00755255">
        <w:rPr>
          <w:i/>
          <w:sz w:val="16"/>
          <w:szCs w:val="16"/>
        </w:rPr>
        <w:t>EXH</w:t>
      </w:r>
      <w:r w:rsidR="002E474A" w:rsidRPr="003146B6">
        <w:rPr>
          <w:i/>
          <w:sz w:val="16"/>
          <w:szCs w:val="16"/>
        </w:rPr>
        <w:t xml:space="preserve">-13 (revised </w:t>
      </w:r>
      <w:r w:rsidR="002E6D80">
        <w:rPr>
          <w:i/>
          <w:sz w:val="16"/>
          <w:szCs w:val="16"/>
        </w:rPr>
        <w:t>04-01-2026</w:t>
      </w:r>
      <w:r w:rsidR="002E474A" w:rsidRPr="003146B6">
        <w:rPr>
          <w:i/>
          <w:sz w:val="16"/>
          <w:szCs w:val="16"/>
        </w:rPr>
        <w:t>)</w:t>
      </w:r>
    </w:p>
    <w:p w14:paraId="00B591DA" w14:textId="77777777" w:rsidR="000A6DEA" w:rsidRPr="00D74D35" w:rsidRDefault="000A6DEA" w:rsidP="000A6DEA">
      <w:pPr>
        <w:widowControl w:val="0"/>
        <w:autoSpaceDE w:val="0"/>
        <w:autoSpaceDN w:val="0"/>
        <w:adjustRightInd w:val="0"/>
        <w:spacing w:line="273" w:lineRule="exact"/>
        <w:ind w:firstLine="240"/>
        <w:jc w:val="center"/>
        <w:rPr>
          <w:rFonts w:cs="Arial"/>
          <w:b/>
          <w:bCs/>
          <w:szCs w:val="22"/>
        </w:rPr>
      </w:pPr>
    </w:p>
    <w:p w14:paraId="50A8FE2F" w14:textId="77777777" w:rsidR="0086147C" w:rsidRPr="0070608C" w:rsidRDefault="000E2D13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line="480" w:lineRule="auto"/>
        <w:ind w:left="540" w:hanging="540"/>
        <w:rPr>
          <w:rFonts w:cs="Arial"/>
          <w:b/>
          <w:szCs w:val="22"/>
        </w:rPr>
      </w:pPr>
      <w:r w:rsidRPr="0070608C">
        <w:rPr>
          <w:rFonts w:cs="Arial"/>
          <w:b/>
          <w:szCs w:val="22"/>
        </w:rPr>
        <w:t>Consultant agrees to</w:t>
      </w:r>
      <w:r w:rsidR="0086147C" w:rsidRPr="0070608C">
        <w:rPr>
          <w:rFonts w:cs="Arial"/>
          <w:b/>
          <w:szCs w:val="22"/>
        </w:rPr>
        <w:t xml:space="preserve">:  </w:t>
      </w:r>
    </w:p>
    <w:p w14:paraId="7E2C2E6F" w14:textId="77777777" w:rsidR="0086147C" w:rsidRDefault="0086147C" w:rsidP="008E7101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hanging="540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="005659CF">
        <w:rPr>
          <w:rFonts w:cs="Arial"/>
          <w:szCs w:val="22"/>
        </w:rPr>
        <w:t>a</w:t>
      </w:r>
      <w:r w:rsidR="000E2D13">
        <w:rPr>
          <w:rFonts w:cs="Arial"/>
          <w:szCs w:val="22"/>
        </w:rPr>
        <w:t xml:space="preserve">ke a detailed review of </w:t>
      </w:r>
      <w:r>
        <w:rPr>
          <w:rFonts w:cs="Arial"/>
          <w:szCs w:val="22"/>
        </w:rPr>
        <w:t>its existing insurance coverage</w:t>
      </w:r>
      <w:r w:rsidR="00D8231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7FFE4A10" w14:textId="77777777" w:rsidR="0086147C" w:rsidRDefault="0086147C" w:rsidP="008E7101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hanging="540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0E2D13">
        <w:rPr>
          <w:rFonts w:cs="Arial"/>
          <w:szCs w:val="22"/>
        </w:rPr>
        <w:t xml:space="preserve">ompare that coverage to the expected scope of the work under this </w:t>
      </w:r>
      <w:r w:rsidR="00D82319">
        <w:rPr>
          <w:rFonts w:cs="Arial"/>
          <w:szCs w:val="22"/>
        </w:rPr>
        <w:t>Agreement.</w:t>
      </w:r>
      <w:r>
        <w:rPr>
          <w:rFonts w:cs="Arial"/>
          <w:szCs w:val="22"/>
        </w:rPr>
        <w:t xml:space="preserve"> </w:t>
      </w:r>
    </w:p>
    <w:p w14:paraId="596C3DD3" w14:textId="77777777" w:rsidR="002F6085" w:rsidRDefault="002F6085" w:rsidP="008E7101">
      <w:pPr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hanging="540"/>
        <w:rPr>
          <w:rFonts w:cs="Arial"/>
          <w:szCs w:val="22"/>
        </w:rPr>
      </w:pPr>
      <w:r>
        <w:rPr>
          <w:rFonts w:cs="Arial"/>
          <w:szCs w:val="22"/>
        </w:rPr>
        <w:t>Obtain the insurance coverage that it deems necessary to fully protect Consultant from loss associated with the work.  Also, Consultant shall have</w:t>
      </w:r>
      <w:r w:rsidR="00D664DA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at a minimum</w:t>
      </w:r>
      <w:r w:rsidR="00D664DA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the insurance described below:</w:t>
      </w:r>
    </w:p>
    <w:p w14:paraId="288CA4CA" w14:textId="77777777" w:rsidR="000A6DEA" w:rsidRPr="00D74D35" w:rsidRDefault="000A6DEA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bCs/>
          <w:szCs w:val="22"/>
        </w:rPr>
      </w:pPr>
      <w:r w:rsidRPr="00D74D35">
        <w:rPr>
          <w:rFonts w:cs="Arial"/>
          <w:b/>
          <w:bCs/>
          <w:szCs w:val="22"/>
        </w:rPr>
        <w:t>General Liability</w:t>
      </w:r>
      <w:r w:rsidR="0070608C">
        <w:rPr>
          <w:rFonts w:cs="Arial"/>
          <w:b/>
          <w:bCs/>
          <w:szCs w:val="22"/>
        </w:rPr>
        <w:t xml:space="preserve"> </w:t>
      </w:r>
      <w:r w:rsidR="0070608C" w:rsidRPr="00D74D35">
        <w:rPr>
          <w:rFonts w:cs="Arial"/>
          <w:b/>
          <w:szCs w:val="22"/>
        </w:rPr>
        <w:t>–</w:t>
      </w:r>
    </w:p>
    <w:p w14:paraId="369AAAC1" w14:textId="77777777" w:rsidR="000A6DEA" w:rsidRPr="00D74D3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>L</w:t>
      </w:r>
      <w:r w:rsidRPr="00D74D35">
        <w:rPr>
          <w:rFonts w:cs="Arial"/>
          <w:szCs w:val="22"/>
        </w:rPr>
        <w:t>imits of at least:</w:t>
      </w:r>
    </w:p>
    <w:p w14:paraId="669591FE" w14:textId="77777777" w:rsidR="000A6DEA" w:rsidRPr="00D74D35" w:rsidRDefault="000A6DEA" w:rsidP="008E7101">
      <w:pPr>
        <w:widowControl w:val="0"/>
        <w:numPr>
          <w:ilvl w:val="2"/>
          <w:numId w:val="15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$</w:t>
      </w:r>
      <w:r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>1,000,000 Per Occurrence</w:t>
      </w:r>
    </w:p>
    <w:p w14:paraId="130E9BFC" w14:textId="77777777" w:rsidR="000A6DEA" w:rsidRPr="00D74D35" w:rsidRDefault="000A6DEA" w:rsidP="008E7101">
      <w:pPr>
        <w:widowControl w:val="0"/>
        <w:numPr>
          <w:ilvl w:val="2"/>
          <w:numId w:val="15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$</w:t>
      </w:r>
      <w:r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>2,000,000 General Aggregate</w:t>
      </w:r>
    </w:p>
    <w:p w14:paraId="3282DCCD" w14:textId="77777777" w:rsidR="000A6DEA" w:rsidRPr="00D74D35" w:rsidRDefault="000A6DEA" w:rsidP="008E7101">
      <w:pPr>
        <w:widowControl w:val="0"/>
        <w:numPr>
          <w:ilvl w:val="2"/>
          <w:numId w:val="15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$</w:t>
      </w:r>
      <w:r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>2,000,000 Completed Operations Aggregate</w:t>
      </w:r>
      <w:r w:rsidR="000E2D13">
        <w:rPr>
          <w:rFonts w:cs="Arial"/>
          <w:szCs w:val="22"/>
        </w:rPr>
        <w:t xml:space="preserve"> (if applicable)</w:t>
      </w:r>
    </w:p>
    <w:p w14:paraId="615D7E89" w14:textId="77777777" w:rsidR="000A6DEA" w:rsidRPr="00C923DE" w:rsidRDefault="000A6DEA" w:rsidP="008E7101">
      <w:pPr>
        <w:widowControl w:val="0"/>
        <w:numPr>
          <w:ilvl w:val="2"/>
          <w:numId w:val="15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$</w:t>
      </w:r>
      <w:r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>1,000,000 Personal</w:t>
      </w:r>
      <w:r w:rsidR="0086147C">
        <w:rPr>
          <w:rFonts w:cs="Arial"/>
          <w:szCs w:val="22"/>
        </w:rPr>
        <w:t>/</w:t>
      </w:r>
      <w:r w:rsidRPr="00D74D35">
        <w:rPr>
          <w:rFonts w:cs="Arial"/>
          <w:szCs w:val="22"/>
        </w:rPr>
        <w:t>Advertising Injury</w:t>
      </w:r>
    </w:p>
    <w:p w14:paraId="5ACC3458" w14:textId="77777777" w:rsidR="000A6DEA" w:rsidRPr="00D74D3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Consultant shall be responsible for the payment of any deductibles.</w:t>
      </w:r>
    </w:p>
    <w:p w14:paraId="6701075B" w14:textId="77777777" w:rsidR="000A6DEA" w:rsidRPr="00211C2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211C25">
        <w:rPr>
          <w:rFonts w:cs="Arial"/>
          <w:szCs w:val="22"/>
        </w:rPr>
        <w:t xml:space="preserve">Coverage </w:t>
      </w:r>
      <w:r w:rsidR="00D664DA">
        <w:rPr>
          <w:rFonts w:cs="Arial"/>
          <w:szCs w:val="22"/>
        </w:rPr>
        <w:t>shall</w:t>
      </w:r>
      <w:r w:rsidRPr="00211C25">
        <w:rPr>
          <w:rFonts w:cs="Arial"/>
          <w:szCs w:val="22"/>
        </w:rPr>
        <w:t xml:space="preserve"> be provided by a standard form Commercial General Liability Policy </w:t>
      </w:r>
      <w:r w:rsidR="00DB76AC">
        <w:rPr>
          <w:rFonts w:cs="Arial"/>
          <w:szCs w:val="22"/>
        </w:rPr>
        <w:t xml:space="preserve">(CG0001 or equivalent) </w:t>
      </w:r>
      <w:r w:rsidRPr="00211C25">
        <w:rPr>
          <w:rFonts w:cs="Arial"/>
          <w:szCs w:val="22"/>
        </w:rPr>
        <w:t>covering bodily injury, property damage including loss of use, and personal injury.</w:t>
      </w:r>
    </w:p>
    <w:p w14:paraId="2D8423C6" w14:textId="77777777" w:rsidR="000A6DEA" w:rsidRPr="00D74D3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>General Aggregate to apply on a Per Project Basis.</w:t>
      </w:r>
    </w:p>
    <w:p w14:paraId="415D241E" w14:textId="77777777" w:rsidR="000A6DEA" w:rsidRPr="00211C2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211C25">
        <w:rPr>
          <w:rFonts w:cs="Arial"/>
          <w:szCs w:val="22"/>
        </w:rPr>
        <w:t xml:space="preserve">The State of Nebraska, Department of </w:t>
      </w:r>
      <w:r w:rsidR="00A35134">
        <w:rPr>
          <w:rFonts w:cs="Arial"/>
          <w:szCs w:val="22"/>
        </w:rPr>
        <w:t>Transportation</w:t>
      </w:r>
      <w:r w:rsidRPr="00211C25">
        <w:rPr>
          <w:rFonts w:cs="Arial"/>
          <w:szCs w:val="22"/>
        </w:rPr>
        <w:t xml:space="preserve">, </w:t>
      </w:r>
      <w:r w:rsidR="00D664DA">
        <w:rPr>
          <w:rFonts w:cs="Arial"/>
          <w:szCs w:val="22"/>
        </w:rPr>
        <w:t>must</w:t>
      </w:r>
      <w:r w:rsidRPr="00211C25">
        <w:rPr>
          <w:rFonts w:cs="Arial"/>
          <w:szCs w:val="22"/>
        </w:rPr>
        <w:t xml:space="preserve"> be named as Additional Insured on a pri</w:t>
      </w:r>
      <w:r w:rsidR="009E3D36">
        <w:rPr>
          <w:rFonts w:cs="Arial"/>
          <w:szCs w:val="22"/>
        </w:rPr>
        <w:t>mary and non-contributory basis</w:t>
      </w:r>
      <w:r>
        <w:rPr>
          <w:rFonts w:cs="Arial"/>
          <w:szCs w:val="22"/>
        </w:rPr>
        <w:t>.</w:t>
      </w:r>
    </w:p>
    <w:p w14:paraId="2D3F6DCA" w14:textId="77777777" w:rsidR="000A6DEA" w:rsidRPr="00D74D3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 xml:space="preserve">Consultant agrees to waive its rights of recovery against State. </w:t>
      </w:r>
      <w:r w:rsidR="00EF644F"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 xml:space="preserve">Waiver of </w:t>
      </w:r>
      <w:r w:rsidR="00EF644F">
        <w:rPr>
          <w:rFonts w:cs="Arial"/>
          <w:szCs w:val="22"/>
        </w:rPr>
        <w:t>s</w:t>
      </w:r>
      <w:r w:rsidRPr="00D74D35">
        <w:rPr>
          <w:rFonts w:cs="Arial"/>
          <w:szCs w:val="22"/>
        </w:rPr>
        <w:t xml:space="preserve">ubrogation in favor of the </w:t>
      </w:r>
      <w:r w:rsidR="00EF644F" w:rsidRPr="00E26F70">
        <w:rPr>
          <w:rFonts w:cs="Arial"/>
          <w:szCs w:val="22"/>
        </w:rPr>
        <w:t xml:space="preserve">State of Nebraska, Department of </w:t>
      </w:r>
      <w:r w:rsidR="00A35134">
        <w:rPr>
          <w:rFonts w:cs="Arial"/>
          <w:szCs w:val="22"/>
        </w:rPr>
        <w:t>Transportation</w:t>
      </w:r>
      <w:r w:rsidRPr="00D74D35">
        <w:rPr>
          <w:rFonts w:cs="Arial"/>
          <w:szCs w:val="22"/>
        </w:rPr>
        <w:t xml:space="preserve"> </w:t>
      </w:r>
      <w:r w:rsidR="00094F5A">
        <w:rPr>
          <w:rFonts w:cs="Arial"/>
          <w:szCs w:val="22"/>
        </w:rPr>
        <w:t>must</w:t>
      </w:r>
      <w:r w:rsidRPr="00D74D35">
        <w:rPr>
          <w:rFonts w:cs="Arial"/>
          <w:szCs w:val="22"/>
        </w:rPr>
        <w:t xml:space="preserve"> be added to</w:t>
      </w:r>
      <w:r w:rsidR="002F6085">
        <w:rPr>
          <w:rFonts w:cs="Arial"/>
          <w:szCs w:val="22"/>
        </w:rPr>
        <w:t>, or included in,</w:t>
      </w:r>
      <w:r w:rsidRPr="00D74D35">
        <w:rPr>
          <w:rFonts w:cs="Arial"/>
          <w:szCs w:val="22"/>
        </w:rPr>
        <w:t xml:space="preserve"> the policy.</w:t>
      </w:r>
    </w:p>
    <w:p w14:paraId="75639E85" w14:textId="77777777" w:rsidR="000A6DEA" w:rsidRPr="00D74D35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 xml:space="preserve">Contractual liability coverage </w:t>
      </w:r>
      <w:r w:rsidR="00094F5A">
        <w:rPr>
          <w:rFonts w:cs="Arial"/>
          <w:szCs w:val="22"/>
        </w:rPr>
        <w:t>must</w:t>
      </w:r>
      <w:r w:rsidRPr="00D74D35">
        <w:rPr>
          <w:rFonts w:cs="Arial"/>
          <w:szCs w:val="22"/>
        </w:rPr>
        <w:t xml:space="preserve"> be on a broad form basis and not be amended by any limiting endorsements.</w:t>
      </w:r>
    </w:p>
    <w:p w14:paraId="09C540BE" w14:textId="77777777" w:rsidR="000A6DEA" w:rsidRPr="006D7AC9" w:rsidRDefault="000A6DEA" w:rsidP="008E7101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 xml:space="preserve">If </w:t>
      </w:r>
      <w:r w:rsidRPr="006D7AC9">
        <w:rPr>
          <w:rFonts w:cs="Arial"/>
          <w:szCs w:val="22"/>
        </w:rPr>
        <w:t>work is being done near a railroad track, the 50' railroad right of way exclusion must be deleted.</w:t>
      </w:r>
    </w:p>
    <w:p w14:paraId="6F516634" w14:textId="77777777" w:rsidR="006D7AC9" w:rsidRDefault="000E2D13" w:rsidP="008E7101">
      <w:pPr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94" w:hanging="547"/>
        <w:rPr>
          <w:rFonts w:cs="Arial"/>
          <w:szCs w:val="22"/>
        </w:rPr>
      </w:pPr>
      <w:r w:rsidRPr="006D7AC9">
        <w:rPr>
          <w:rFonts w:cs="Arial"/>
          <w:szCs w:val="22"/>
        </w:rPr>
        <w:t xml:space="preserve">In the event that this contract provides for consultant to construct, reconstruct or produce a completed </w:t>
      </w:r>
      <w:r w:rsidR="009E3D36">
        <w:rPr>
          <w:rFonts w:cs="Arial"/>
          <w:szCs w:val="22"/>
        </w:rPr>
        <w:t>structure</w:t>
      </w:r>
      <w:r w:rsidRPr="006D7AC9">
        <w:rPr>
          <w:rFonts w:cs="Arial"/>
          <w:szCs w:val="22"/>
        </w:rPr>
        <w:t>,</w:t>
      </w:r>
      <w:r w:rsidR="009E3D36">
        <w:rPr>
          <w:rFonts w:cs="Arial"/>
          <w:szCs w:val="22"/>
        </w:rPr>
        <w:t xml:space="preserve"> building, or facility,</w:t>
      </w:r>
      <w:r w:rsidRPr="006D7AC9">
        <w:rPr>
          <w:rFonts w:cs="Arial"/>
          <w:szCs w:val="22"/>
        </w:rPr>
        <w:t xml:space="preserve"> p</w:t>
      </w:r>
      <w:r w:rsidR="000A6DEA" w:rsidRPr="006D7AC9">
        <w:rPr>
          <w:rFonts w:cs="Arial"/>
          <w:szCs w:val="22"/>
        </w:rPr>
        <w:t>roducts and complete</w:t>
      </w:r>
      <w:r w:rsidRPr="006D7AC9">
        <w:rPr>
          <w:rFonts w:cs="Arial"/>
          <w:szCs w:val="22"/>
        </w:rPr>
        <w:t>d</w:t>
      </w:r>
      <w:r w:rsidR="000A6DEA" w:rsidRPr="006D7AC9">
        <w:rPr>
          <w:rFonts w:cs="Arial"/>
          <w:szCs w:val="22"/>
        </w:rPr>
        <w:t xml:space="preserve"> operations </w:t>
      </w:r>
      <w:r w:rsidRPr="006D7AC9">
        <w:rPr>
          <w:rFonts w:cs="Arial"/>
          <w:szCs w:val="22"/>
        </w:rPr>
        <w:t>covera</w:t>
      </w:r>
      <w:r w:rsidR="00290D00" w:rsidRPr="006D7AC9">
        <w:rPr>
          <w:rFonts w:cs="Arial"/>
          <w:szCs w:val="22"/>
        </w:rPr>
        <w:t>g</w:t>
      </w:r>
      <w:r w:rsidRPr="006D7AC9">
        <w:rPr>
          <w:rFonts w:cs="Arial"/>
          <w:szCs w:val="22"/>
        </w:rPr>
        <w:t xml:space="preserve">e in the amount provided above </w:t>
      </w:r>
      <w:r w:rsidR="000A6DEA" w:rsidRPr="006D7AC9">
        <w:rPr>
          <w:rFonts w:cs="Arial"/>
          <w:szCs w:val="22"/>
        </w:rPr>
        <w:t xml:space="preserve">shall be maintained for the duration of </w:t>
      </w:r>
      <w:r w:rsidR="00290D00" w:rsidRPr="006D7AC9">
        <w:rPr>
          <w:rFonts w:cs="Arial"/>
          <w:szCs w:val="22"/>
        </w:rPr>
        <w:t xml:space="preserve">the </w:t>
      </w:r>
      <w:r w:rsidR="000A6DEA" w:rsidRPr="006D7AC9">
        <w:rPr>
          <w:rFonts w:cs="Arial"/>
          <w:szCs w:val="22"/>
        </w:rPr>
        <w:t xml:space="preserve">work, and shall be further maintained for a minimum period of five </w:t>
      </w:r>
      <w:r w:rsidR="00D82319">
        <w:rPr>
          <w:rFonts w:cs="Arial"/>
          <w:szCs w:val="22"/>
        </w:rPr>
        <w:t xml:space="preserve">(5) </w:t>
      </w:r>
      <w:r w:rsidR="000A6DEA" w:rsidRPr="006D7AC9">
        <w:rPr>
          <w:rFonts w:cs="Arial"/>
          <w:szCs w:val="22"/>
        </w:rPr>
        <w:t>years after final acceptance and payment</w:t>
      </w:r>
      <w:r w:rsidR="0086147C" w:rsidRPr="006D7AC9">
        <w:rPr>
          <w:rFonts w:cs="Arial"/>
          <w:szCs w:val="22"/>
        </w:rPr>
        <w:t>.</w:t>
      </w:r>
    </w:p>
    <w:p w14:paraId="20CAC70A" w14:textId="77777777" w:rsidR="006C0906" w:rsidRDefault="006C0906" w:rsidP="006C0906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1094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1E427EB6" w14:textId="77777777" w:rsidR="006C0906" w:rsidRPr="006D7AC9" w:rsidRDefault="006C0906" w:rsidP="006C0906">
      <w:pPr>
        <w:tabs>
          <w:tab w:val="left" w:pos="1080"/>
        </w:tabs>
        <w:autoSpaceDE w:val="0"/>
        <w:autoSpaceDN w:val="0"/>
        <w:adjustRightInd w:val="0"/>
        <w:spacing w:line="360" w:lineRule="auto"/>
        <w:ind w:left="1094"/>
        <w:rPr>
          <w:rFonts w:cs="Arial"/>
          <w:szCs w:val="22"/>
        </w:rPr>
      </w:pPr>
    </w:p>
    <w:p w14:paraId="7803C8CE" w14:textId="0A0458B7" w:rsidR="006B2F9A" w:rsidRPr="006D7AC9" w:rsidRDefault="00C923DE" w:rsidP="008E7101">
      <w:pPr>
        <w:keepNext/>
        <w:keepLines/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6D7AC9">
        <w:rPr>
          <w:rFonts w:cs="Arial"/>
          <w:szCs w:val="22"/>
        </w:rPr>
        <w:t>Policy shall not contain a</w:t>
      </w:r>
      <w:r w:rsidR="002D3B8F" w:rsidRPr="006D7AC9">
        <w:rPr>
          <w:rFonts w:cs="Arial"/>
          <w:szCs w:val="22"/>
        </w:rPr>
        <w:t xml:space="preserve"> </w:t>
      </w:r>
      <w:r w:rsidR="000A6DEA" w:rsidRPr="006D7AC9">
        <w:rPr>
          <w:rFonts w:cs="Arial"/>
          <w:szCs w:val="22"/>
        </w:rPr>
        <w:t>total or absolute pollution exclusion. Coverage shall be provided for pollution exposures arising from products and completed operations (as per standard CG0001 Pollution Exclusion or equivalent).</w:t>
      </w:r>
      <w:r w:rsidR="001A5615" w:rsidRPr="006D7AC9">
        <w:rPr>
          <w:rFonts w:cs="Arial"/>
          <w:szCs w:val="22"/>
        </w:rPr>
        <w:t xml:space="preserve">  If </w:t>
      </w:r>
      <w:r w:rsidR="00AD4BCA" w:rsidRPr="006D7AC9">
        <w:rPr>
          <w:rFonts w:cs="Arial"/>
          <w:szCs w:val="22"/>
        </w:rPr>
        <w:t>the standard pollution exclusion as provided by CG0001 has been amended</w:t>
      </w:r>
      <w:r w:rsidR="002760FA">
        <w:rPr>
          <w:rFonts w:cs="Arial"/>
          <w:szCs w:val="22"/>
        </w:rPr>
        <w:t xml:space="preserve"> to include a total or absolute pollution exclusion</w:t>
      </w:r>
      <w:r w:rsidR="00AD4BCA" w:rsidRPr="006D7AC9">
        <w:rPr>
          <w:rFonts w:cs="Arial"/>
          <w:szCs w:val="22"/>
        </w:rPr>
        <w:t xml:space="preserve">, </w:t>
      </w:r>
      <w:r w:rsidR="001A5615" w:rsidRPr="006D7AC9">
        <w:rPr>
          <w:rFonts w:cs="Arial"/>
          <w:szCs w:val="22"/>
        </w:rPr>
        <w:t>please refer to the following section entitled “Pollution Coverage.”</w:t>
      </w:r>
      <w:r w:rsidR="00282D65" w:rsidRPr="006D7AC9">
        <w:rPr>
          <w:rFonts w:cs="Arial"/>
          <w:szCs w:val="22"/>
        </w:rPr>
        <w:t xml:space="preserve">  </w:t>
      </w:r>
    </w:p>
    <w:p w14:paraId="443B8BFC" w14:textId="77777777" w:rsidR="00282D65" w:rsidRPr="006B2F9A" w:rsidRDefault="00282D65" w:rsidP="008E7101">
      <w:pPr>
        <w:keepNext/>
        <w:keepLines/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 w:rsidRPr="006B2F9A">
        <w:rPr>
          <w:rFonts w:cs="Arial"/>
          <w:b/>
          <w:szCs w:val="22"/>
        </w:rPr>
        <w:t xml:space="preserve">Pollution Coverage – </w:t>
      </w:r>
    </w:p>
    <w:p w14:paraId="3B7613D8" w14:textId="10AEDB0C" w:rsidR="00831CF0" w:rsidRDefault="00282D65" w:rsidP="008E7101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In the event that</w:t>
      </w:r>
      <w:proofErr w:type="gramEnd"/>
      <w:r>
        <w:rPr>
          <w:rFonts w:cs="Arial"/>
          <w:szCs w:val="22"/>
        </w:rPr>
        <w:t xml:space="preserve"> the </w:t>
      </w:r>
      <w:r w:rsidR="002D3B8F">
        <w:rPr>
          <w:rFonts w:cs="Arial"/>
          <w:szCs w:val="22"/>
        </w:rPr>
        <w:t>standard pollution exclusion as provided by CG0001 has been amended</w:t>
      </w:r>
      <w:r w:rsidR="002760FA">
        <w:rPr>
          <w:rFonts w:cs="Arial"/>
          <w:szCs w:val="22"/>
        </w:rPr>
        <w:t xml:space="preserve"> to include a total or absolute pollution exclusion</w:t>
      </w:r>
      <w:r w:rsidR="002D3B8F">
        <w:rPr>
          <w:rFonts w:cs="Arial"/>
          <w:szCs w:val="22"/>
        </w:rPr>
        <w:t>, coverage may be subs</w:t>
      </w:r>
      <w:r>
        <w:rPr>
          <w:rFonts w:cs="Arial"/>
          <w:szCs w:val="22"/>
        </w:rPr>
        <w:t xml:space="preserve">tituted with </w:t>
      </w:r>
      <w:r w:rsidR="00666AB2">
        <w:rPr>
          <w:rFonts w:cs="Arial"/>
          <w:szCs w:val="22"/>
        </w:rPr>
        <w:t xml:space="preserve">a </w:t>
      </w:r>
      <w:r>
        <w:rPr>
          <w:rFonts w:cs="Arial"/>
          <w:szCs w:val="22"/>
        </w:rPr>
        <w:t xml:space="preserve">separate Pollution Liability </w:t>
      </w:r>
      <w:r w:rsidR="002D3B8F">
        <w:rPr>
          <w:rFonts w:cs="Arial"/>
          <w:szCs w:val="22"/>
        </w:rPr>
        <w:t xml:space="preserve">policy or a </w:t>
      </w:r>
      <w:r w:rsidR="00AD4BCA">
        <w:rPr>
          <w:rFonts w:cs="Arial"/>
          <w:szCs w:val="22"/>
        </w:rPr>
        <w:t>P</w:t>
      </w:r>
      <w:r w:rsidR="002D3B8F">
        <w:rPr>
          <w:rFonts w:cs="Arial"/>
          <w:szCs w:val="22"/>
        </w:rPr>
        <w:t xml:space="preserve">rofessional </w:t>
      </w:r>
      <w:r w:rsidR="00AD4BCA">
        <w:rPr>
          <w:rFonts w:cs="Arial"/>
          <w:szCs w:val="22"/>
        </w:rPr>
        <w:t>L</w:t>
      </w:r>
      <w:r w:rsidR="002D3B8F">
        <w:rPr>
          <w:rFonts w:cs="Arial"/>
          <w:szCs w:val="22"/>
        </w:rPr>
        <w:t>iability policy that includes pollution coverage</w:t>
      </w:r>
      <w:r>
        <w:rPr>
          <w:rFonts w:cs="Arial"/>
          <w:szCs w:val="22"/>
        </w:rPr>
        <w:t xml:space="preserve"> in the amount of $1</w:t>
      </w:r>
      <w:r w:rsidR="00831CF0">
        <w:rPr>
          <w:rFonts w:cs="Arial"/>
          <w:szCs w:val="22"/>
        </w:rPr>
        <w:t>,000,000</w:t>
      </w:r>
      <w:r>
        <w:rPr>
          <w:rFonts w:cs="Arial"/>
          <w:szCs w:val="22"/>
        </w:rPr>
        <w:t xml:space="preserve"> per occurrence </w:t>
      </w:r>
      <w:r w:rsidR="00C418D1">
        <w:rPr>
          <w:rFonts w:cs="Arial"/>
          <w:szCs w:val="22"/>
        </w:rPr>
        <w:t>or claim</w:t>
      </w:r>
      <w:r w:rsidR="00831CF0">
        <w:rPr>
          <w:rFonts w:cs="Arial"/>
          <w:szCs w:val="22"/>
        </w:rPr>
        <w:t>,</w:t>
      </w:r>
      <w:r w:rsidR="00C418D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and $1</w:t>
      </w:r>
      <w:r w:rsidR="00831CF0">
        <w:rPr>
          <w:rFonts w:cs="Arial"/>
          <w:szCs w:val="22"/>
        </w:rPr>
        <w:t>,000,000</w:t>
      </w:r>
      <w:r>
        <w:rPr>
          <w:rFonts w:cs="Arial"/>
          <w:szCs w:val="22"/>
        </w:rPr>
        <w:t xml:space="preserve"> aggregate.  </w:t>
      </w:r>
    </w:p>
    <w:p w14:paraId="3BE42261" w14:textId="77777777" w:rsidR="00282D65" w:rsidRPr="00C923DE" w:rsidRDefault="00282D65" w:rsidP="008E7101">
      <w:pPr>
        <w:widowControl w:val="0"/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 xml:space="preserve">If coverage is provided by a “claims made” form, coverage will be maintained for three years after project completion.  Any applicable deductible is the responsibility of </w:t>
      </w:r>
      <w:proofErr w:type="gramStart"/>
      <w:r>
        <w:rPr>
          <w:rFonts w:cs="Arial"/>
          <w:szCs w:val="22"/>
        </w:rPr>
        <w:t>Consultant</w:t>
      </w:r>
      <w:proofErr w:type="gramEnd"/>
      <w:r>
        <w:rPr>
          <w:rFonts w:cs="Arial"/>
          <w:szCs w:val="22"/>
        </w:rPr>
        <w:t xml:space="preserve">.  </w:t>
      </w:r>
    </w:p>
    <w:p w14:paraId="3A07C612" w14:textId="77777777" w:rsidR="000A6DEA" w:rsidRPr="00D74D35" w:rsidRDefault="000A6DEA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 w:rsidRPr="00D74D35">
        <w:rPr>
          <w:rFonts w:cs="Arial"/>
          <w:b/>
          <w:szCs w:val="22"/>
        </w:rPr>
        <w:t xml:space="preserve">Automobile Liability – </w:t>
      </w:r>
    </w:p>
    <w:p w14:paraId="57466A6B" w14:textId="77777777" w:rsidR="006D7AC9" w:rsidRDefault="000A6DEA" w:rsidP="008E7101">
      <w:pPr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211C25">
        <w:rPr>
          <w:rFonts w:cs="Arial"/>
          <w:szCs w:val="22"/>
        </w:rPr>
        <w:t>Limits of at least:</w:t>
      </w:r>
    </w:p>
    <w:p w14:paraId="436D6875" w14:textId="77777777" w:rsidR="000A6DEA" w:rsidRPr="00211C25" w:rsidRDefault="006D7AC9" w:rsidP="008E7101">
      <w:pPr>
        <w:widowControl w:val="0"/>
        <w:numPr>
          <w:ilvl w:val="1"/>
          <w:numId w:val="20"/>
        </w:numPr>
        <w:tabs>
          <w:tab w:val="left" w:pos="1620"/>
        </w:tabs>
        <w:autoSpaceDE w:val="0"/>
        <w:autoSpaceDN w:val="0"/>
        <w:adjustRightInd w:val="0"/>
        <w:spacing w:line="360" w:lineRule="auto"/>
        <w:ind w:left="1620" w:hanging="540"/>
        <w:rPr>
          <w:rFonts w:cs="Arial"/>
          <w:szCs w:val="22"/>
        </w:rPr>
      </w:pPr>
      <w:r>
        <w:rPr>
          <w:rFonts w:cs="Arial"/>
          <w:szCs w:val="22"/>
        </w:rPr>
        <w:t>$</w:t>
      </w:r>
      <w:r w:rsidR="000A6DEA">
        <w:rPr>
          <w:rFonts w:cs="Arial"/>
          <w:szCs w:val="22"/>
        </w:rPr>
        <w:t> </w:t>
      </w:r>
      <w:r w:rsidR="000A6DEA" w:rsidRPr="00211C25">
        <w:rPr>
          <w:rFonts w:cs="Arial"/>
          <w:szCs w:val="22"/>
        </w:rPr>
        <w:t>1,000,000 CSL Per Accident</w:t>
      </w:r>
    </w:p>
    <w:p w14:paraId="574D2552" w14:textId="77777777" w:rsidR="000A6DEA" w:rsidRDefault="000A6DEA" w:rsidP="008E7101">
      <w:pPr>
        <w:widowControl w:val="0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211C25">
        <w:rPr>
          <w:rFonts w:cs="Arial"/>
          <w:szCs w:val="22"/>
        </w:rPr>
        <w:t>Coverage shall apply to all Owned, Hired, and Non</w:t>
      </w:r>
      <w:r w:rsidRPr="00211C25">
        <w:rPr>
          <w:rFonts w:cs="Arial"/>
          <w:szCs w:val="22"/>
        </w:rPr>
        <w:noBreakHyphen/>
        <w:t>Owned Autos.</w:t>
      </w:r>
    </w:p>
    <w:p w14:paraId="459DAC4E" w14:textId="77777777" w:rsidR="006C0906" w:rsidRPr="006C0906" w:rsidRDefault="006C0906" w:rsidP="006C0906">
      <w:pPr>
        <w:pStyle w:val="ListParagraph"/>
        <w:numPr>
          <w:ilvl w:val="0"/>
          <w:numId w:val="20"/>
        </w:numPr>
        <w:spacing w:line="360" w:lineRule="auto"/>
        <w:ind w:left="1094" w:hanging="547"/>
        <w:rPr>
          <w:rFonts w:cs="Arial"/>
          <w:szCs w:val="22"/>
        </w:rPr>
      </w:pPr>
      <w:r w:rsidRPr="006C0906">
        <w:rPr>
          <w:rFonts w:cs="Arial"/>
          <w:szCs w:val="22"/>
        </w:rPr>
        <w:t xml:space="preserve">Consultant agrees to waive its rights of recovery against the LPA and the State of Nebraska, Department of </w:t>
      </w:r>
      <w:r w:rsidR="00A35134">
        <w:rPr>
          <w:rFonts w:cs="Arial"/>
          <w:szCs w:val="22"/>
        </w:rPr>
        <w:t>Transportation</w:t>
      </w:r>
      <w:r w:rsidRPr="006C0906">
        <w:rPr>
          <w:rFonts w:cs="Arial"/>
          <w:szCs w:val="22"/>
        </w:rPr>
        <w:t xml:space="preserve">.  Waiver of Subrogation in favor of the LPA and the State of Nebraska, Department of </w:t>
      </w:r>
      <w:r w:rsidR="00A35134">
        <w:rPr>
          <w:rFonts w:cs="Arial"/>
          <w:szCs w:val="22"/>
        </w:rPr>
        <w:t>Transportation</w:t>
      </w:r>
      <w:r w:rsidRPr="006C0906">
        <w:rPr>
          <w:rFonts w:cs="Arial"/>
          <w:szCs w:val="22"/>
        </w:rPr>
        <w:t>, shall be added to the policy.</w:t>
      </w:r>
    </w:p>
    <w:p w14:paraId="4CE80D4B" w14:textId="77777777" w:rsidR="000A6DEA" w:rsidRPr="00D74D35" w:rsidRDefault="000A6DEA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 w:rsidRPr="00D74D35">
        <w:rPr>
          <w:rFonts w:cs="Arial"/>
          <w:b/>
          <w:szCs w:val="22"/>
        </w:rPr>
        <w:t xml:space="preserve">Workers’ Compensation – </w:t>
      </w:r>
    </w:p>
    <w:p w14:paraId="7D52D1BB" w14:textId="77777777" w:rsidR="000A6DEA" w:rsidRPr="00211C25" w:rsidRDefault="000A6DEA" w:rsidP="008E7101">
      <w:pPr>
        <w:widowControl w:val="0"/>
        <w:numPr>
          <w:ilvl w:val="0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>Limits</w:t>
      </w:r>
      <w:proofErr w:type="gramStart"/>
      <w:r>
        <w:rPr>
          <w:rFonts w:cs="Arial"/>
          <w:szCs w:val="22"/>
        </w:rPr>
        <w:t xml:space="preserve">:  </w:t>
      </w:r>
      <w:r w:rsidRPr="00211C25">
        <w:rPr>
          <w:rFonts w:cs="Arial"/>
          <w:szCs w:val="22"/>
        </w:rPr>
        <w:t>Statutory</w:t>
      </w:r>
      <w:proofErr w:type="gramEnd"/>
      <w:r w:rsidRPr="00211C25">
        <w:rPr>
          <w:rFonts w:cs="Arial"/>
          <w:szCs w:val="22"/>
        </w:rPr>
        <w:t xml:space="preserve"> coverage for the </w:t>
      </w:r>
      <w:r w:rsidR="00D82319">
        <w:rPr>
          <w:rFonts w:cs="Arial"/>
          <w:szCs w:val="22"/>
        </w:rPr>
        <w:t>s</w:t>
      </w:r>
      <w:r w:rsidRPr="00211C25">
        <w:rPr>
          <w:rFonts w:cs="Arial"/>
          <w:szCs w:val="22"/>
        </w:rPr>
        <w:t xml:space="preserve">tate where the project is located.  </w:t>
      </w:r>
    </w:p>
    <w:p w14:paraId="6D44EAD1" w14:textId="77777777" w:rsidR="00831CF0" w:rsidRDefault="000A6DEA" w:rsidP="008E7101">
      <w:pPr>
        <w:widowControl w:val="0"/>
        <w:numPr>
          <w:ilvl w:val="0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>Employer’s Liability limits:</w:t>
      </w:r>
      <w:r>
        <w:rPr>
          <w:rFonts w:cs="Arial"/>
          <w:szCs w:val="22"/>
        </w:rPr>
        <w:tab/>
      </w:r>
    </w:p>
    <w:p w14:paraId="07F145BF" w14:textId="09E38017" w:rsidR="00831CF0" w:rsidRDefault="000A6DEA" w:rsidP="008E7101">
      <w:pPr>
        <w:widowControl w:val="0"/>
        <w:numPr>
          <w:ilvl w:val="1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831CF0">
        <w:rPr>
          <w:rFonts w:cs="Arial"/>
          <w:szCs w:val="22"/>
        </w:rPr>
        <w:t>$</w:t>
      </w:r>
      <w:r w:rsidR="00547552">
        <w:rPr>
          <w:rFonts w:cs="Arial"/>
          <w:szCs w:val="22"/>
        </w:rPr>
        <w:t>500</w:t>
      </w:r>
      <w:r w:rsidRPr="00831CF0">
        <w:rPr>
          <w:rFonts w:cs="Arial"/>
          <w:szCs w:val="22"/>
        </w:rPr>
        <w:t>,000 Each Accident</w:t>
      </w:r>
    </w:p>
    <w:p w14:paraId="4E0D6091" w14:textId="77B5B68A" w:rsidR="00831CF0" w:rsidRDefault="000A6DEA" w:rsidP="008E7101">
      <w:pPr>
        <w:widowControl w:val="0"/>
        <w:numPr>
          <w:ilvl w:val="1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831CF0">
        <w:rPr>
          <w:rFonts w:cs="Arial"/>
          <w:szCs w:val="22"/>
        </w:rPr>
        <w:t>$</w:t>
      </w:r>
      <w:r w:rsidR="00547552">
        <w:rPr>
          <w:rFonts w:cs="Arial"/>
          <w:szCs w:val="22"/>
        </w:rPr>
        <w:t>500</w:t>
      </w:r>
      <w:r w:rsidRPr="00831CF0">
        <w:rPr>
          <w:rFonts w:cs="Arial"/>
          <w:szCs w:val="22"/>
        </w:rPr>
        <w:t>,000 Disease – Per Person</w:t>
      </w:r>
    </w:p>
    <w:p w14:paraId="723E6CA5" w14:textId="77777777" w:rsidR="000A6DEA" w:rsidRPr="00831CF0" w:rsidRDefault="000A6DEA" w:rsidP="008E7101">
      <w:pPr>
        <w:widowControl w:val="0"/>
        <w:numPr>
          <w:ilvl w:val="1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rPr>
          <w:rFonts w:cs="Arial"/>
          <w:szCs w:val="22"/>
        </w:rPr>
      </w:pPr>
      <w:r w:rsidRPr="00831CF0">
        <w:rPr>
          <w:rFonts w:cs="Arial"/>
          <w:szCs w:val="22"/>
        </w:rPr>
        <w:t>$500,000 Disease – Policy Limit</w:t>
      </w:r>
    </w:p>
    <w:p w14:paraId="5FDAEB34" w14:textId="77777777" w:rsidR="00C923DE" w:rsidRDefault="000A6DEA" w:rsidP="008E7101">
      <w:pPr>
        <w:widowControl w:val="0"/>
        <w:numPr>
          <w:ilvl w:val="0"/>
          <w:numId w:val="22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211C25">
        <w:rPr>
          <w:rFonts w:cs="Arial"/>
          <w:szCs w:val="22"/>
        </w:rPr>
        <w:t xml:space="preserve">Consultant agrees to waive its rights of recovery against State.  Waiver of </w:t>
      </w:r>
      <w:r w:rsidR="00EF644F">
        <w:rPr>
          <w:rFonts w:cs="Arial"/>
          <w:szCs w:val="22"/>
        </w:rPr>
        <w:t>s</w:t>
      </w:r>
      <w:r w:rsidRPr="00211C25">
        <w:rPr>
          <w:rFonts w:cs="Arial"/>
          <w:szCs w:val="22"/>
        </w:rPr>
        <w:t xml:space="preserve">ubrogation in favor of the State of Nebraska, Department of </w:t>
      </w:r>
      <w:r w:rsidR="00A35134">
        <w:rPr>
          <w:rFonts w:cs="Arial"/>
          <w:szCs w:val="22"/>
        </w:rPr>
        <w:t>Transportation</w:t>
      </w:r>
      <w:r w:rsidR="00C923DE">
        <w:rPr>
          <w:rFonts w:cs="Arial"/>
          <w:szCs w:val="22"/>
        </w:rPr>
        <w:t xml:space="preserve"> shall be added to</w:t>
      </w:r>
      <w:r w:rsidR="002F6085">
        <w:rPr>
          <w:rFonts w:cs="Arial"/>
          <w:szCs w:val="22"/>
        </w:rPr>
        <w:t>, or included in,</w:t>
      </w:r>
      <w:r w:rsidR="00C923DE">
        <w:rPr>
          <w:rFonts w:cs="Arial"/>
          <w:szCs w:val="22"/>
        </w:rPr>
        <w:t xml:space="preserve"> the policy</w:t>
      </w:r>
    </w:p>
    <w:p w14:paraId="6C7E0E11" w14:textId="77777777" w:rsidR="006C0906" w:rsidRDefault="006C0906" w:rsidP="006C0906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AEE9CC2" w14:textId="77777777" w:rsidR="006C0906" w:rsidRDefault="006C0906" w:rsidP="006C0906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/>
        <w:rPr>
          <w:rFonts w:cs="Arial"/>
          <w:szCs w:val="22"/>
        </w:rPr>
      </w:pPr>
    </w:p>
    <w:p w14:paraId="6F009E9B" w14:textId="77777777" w:rsidR="000A6DEA" w:rsidRDefault="00C923DE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Professional Liability – </w:t>
      </w:r>
    </w:p>
    <w:p w14:paraId="05D1A23D" w14:textId="77777777" w:rsidR="00831CF0" w:rsidRDefault="00C923DE" w:rsidP="008E7101">
      <w:pPr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>Limits of at least:</w:t>
      </w:r>
    </w:p>
    <w:p w14:paraId="5649B070" w14:textId="77777777" w:rsidR="00ED031E" w:rsidRDefault="00C923DE" w:rsidP="008E7101">
      <w:pPr>
        <w:widowControl w:val="0"/>
        <w:numPr>
          <w:ilvl w:val="1"/>
          <w:numId w:val="23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>
        <w:rPr>
          <w:rFonts w:cs="Arial"/>
          <w:szCs w:val="22"/>
        </w:rPr>
        <w:t xml:space="preserve">$ 1,000,000 </w:t>
      </w:r>
      <w:r w:rsidR="00F32661">
        <w:rPr>
          <w:rFonts w:cs="Arial"/>
          <w:szCs w:val="22"/>
        </w:rPr>
        <w:t>Per Claim</w:t>
      </w:r>
    </w:p>
    <w:p w14:paraId="64028DF4" w14:textId="77777777" w:rsidR="00831CF0" w:rsidRDefault="00ED031E" w:rsidP="008E7101">
      <w:pPr>
        <w:widowControl w:val="0"/>
        <w:numPr>
          <w:ilvl w:val="1"/>
          <w:numId w:val="23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>
        <w:rPr>
          <w:rFonts w:cs="Arial"/>
          <w:szCs w:val="22"/>
        </w:rPr>
        <w:t xml:space="preserve">$ 1,000,000 </w:t>
      </w:r>
      <w:r w:rsidR="00F32661">
        <w:rPr>
          <w:rFonts w:cs="Arial"/>
          <w:szCs w:val="22"/>
        </w:rPr>
        <w:t>Annual Aggregate</w:t>
      </w:r>
    </w:p>
    <w:p w14:paraId="510CBE9A" w14:textId="77777777" w:rsidR="00C923DE" w:rsidRPr="00831CF0" w:rsidRDefault="00C923DE" w:rsidP="008E7101">
      <w:pPr>
        <w:widowControl w:val="0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831CF0">
        <w:rPr>
          <w:rFonts w:cs="Arial"/>
          <w:szCs w:val="22"/>
        </w:rPr>
        <w:t xml:space="preserve">Coverage shall be provided for three years after </w:t>
      </w:r>
      <w:r w:rsidR="0086147C" w:rsidRPr="00831CF0">
        <w:rPr>
          <w:rFonts w:cs="Arial"/>
          <w:szCs w:val="22"/>
        </w:rPr>
        <w:t>work/</w:t>
      </w:r>
      <w:r w:rsidRPr="00831CF0">
        <w:rPr>
          <w:rFonts w:cs="Arial"/>
          <w:szCs w:val="22"/>
        </w:rPr>
        <w:t xml:space="preserve">project completion.  </w:t>
      </w:r>
    </w:p>
    <w:p w14:paraId="70F90889" w14:textId="77777777" w:rsidR="00C923DE" w:rsidRDefault="00C923DE" w:rsidP="008E7101">
      <w:pPr>
        <w:keepNext/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Electronic Data and Valuable Papers – </w:t>
      </w:r>
    </w:p>
    <w:p w14:paraId="1CC973DF" w14:textId="77777777" w:rsidR="00831CF0" w:rsidRDefault="00C923DE" w:rsidP="008E7101">
      <w:pPr>
        <w:widowControl w:val="0"/>
        <w:numPr>
          <w:ilvl w:val="0"/>
          <w:numId w:val="2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>
        <w:rPr>
          <w:rFonts w:cs="Arial"/>
          <w:szCs w:val="22"/>
        </w:rPr>
        <w:t>Limits of at least:</w:t>
      </w:r>
    </w:p>
    <w:p w14:paraId="776EEE7A" w14:textId="77777777" w:rsidR="00831CF0" w:rsidRDefault="00C923DE" w:rsidP="008E7101">
      <w:pPr>
        <w:widowControl w:val="0"/>
        <w:numPr>
          <w:ilvl w:val="1"/>
          <w:numId w:val="24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 w:rsidRPr="00831CF0">
        <w:rPr>
          <w:rFonts w:cs="Arial"/>
          <w:szCs w:val="22"/>
        </w:rPr>
        <w:t>$100,000 Electronic Data Processing Data and Media</w:t>
      </w:r>
    </w:p>
    <w:p w14:paraId="75BFAE8F" w14:textId="77777777" w:rsidR="00C923DE" w:rsidRPr="00831CF0" w:rsidRDefault="00C923DE" w:rsidP="008E7101">
      <w:pPr>
        <w:widowControl w:val="0"/>
        <w:numPr>
          <w:ilvl w:val="1"/>
          <w:numId w:val="24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 w:rsidRPr="00831CF0">
        <w:rPr>
          <w:rFonts w:cs="Arial"/>
          <w:szCs w:val="22"/>
        </w:rPr>
        <w:t>$25,000 Valuable Papers</w:t>
      </w:r>
    </w:p>
    <w:p w14:paraId="5598A80C" w14:textId="77777777" w:rsidR="000A6DEA" w:rsidRPr="00D74D35" w:rsidRDefault="000A6DEA" w:rsidP="008E7101">
      <w:pPr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line="360" w:lineRule="auto"/>
        <w:ind w:left="540" w:hanging="540"/>
        <w:rPr>
          <w:rFonts w:cs="Arial"/>
          <w:szCs w:val="22"/>
        </w:rPr>
      </w:pPr>
      <w:r w:rsidRPr="00D74D35">
        <w:rPr>
          <w:rFonts w:cs="Arial"/>
          <w:b/>
          <w:szCs w:val="22"/>
        </w:rPr>
        <w:t>Umbrella/Excess –</w:t>
      </w:r>
    </w:p>
    <w:p w14:paraId="5C73B730" w14:textId="77777777" w:rsidR="00831CF0" w:rsidRDefault="000A6DEA" w:rsidP="008E7101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 xml:space="preserve">Limits of at least:  </w:t>
      </w:r>
    </w:p>
    <w:p w14:paraId="5E479CAE" w14:textId="77777777" w:rsidR="00ED031E" w:rsidRDefault="000A6DEA" w:rsidP="008E7101">
      <w:pPr>
        <w:widowControl w:val="0"/>
        <w:numPr>
          <w:ilvl w:val="1"/>
          <w:numId w:val="25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 w:rsidRPr="00D74D35">
        <w:rPr>
          <w:rFonts w:cs="Arial"/>
          <w:szCs w:val="22"/>
        </w:rPr>
        <w:t>$</w:t>
      </w:r>
      <w:r w:rsidR="00ED031E">
        <w:rPr>
          <w:rFonts w:cs="Arial"/>
          <w:szCs w:val="22"/>
        </w:rPr>
        <w:t xml:space="preserve"> </w:t>
      </w:r>
      <w:r w:rsidRPr="00D74D35">
        <w:rPr>
          <w:rFonts w:cs="Arial"/>
          <w:szCs w:val="22"/>
        </w:rPr>
        <w:t>1,000,000 Per Occurrence</w:t>
      </w:r>
    </w:p>
    <w:p w14:paraId="7C529CCB" w14:textId="77777777" w:rsidR="000A6DEA" w:rsidRPr="00D74D35" w:rsidRDefault="00ED031E" w:rsidP="008E7101">
      <w:pPr>
        <w:widowControl w:val="0"/>
        <w:numPr>
          <w:ilvl w:val="1"/>
          <w:numId w:val="25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left="1440"/>
        <w:rPr>
          <w:rFonts w:cs="Arial"/>
          <w:szCs w:val="22"/>
        </w:rPr>
      </w:pPr>
      <w:r>
        <w:rPr>
          <w:rFonts w:cs="Arial"/>
          <w:szCs w:val="22"/>
        </w:rPr>
        <w:t xml:space="preserve">$ 1,000,000 </w:t>
      </w:r>
      <w:r w:rsidR="00F32661">
        <w:rPr>
          <w:rFonts w:cs="Arial"/>
          <w:szCs w:val="22"/>
        </w:rPr>
        <w:t>Annual Aggregate</w:t>
      </w:r>
    </w:p>
    <w:p w14:paraId="085612EF" w14:textId="77777777" w:rsidR="00ED227F" w:rsidRDefault="000A6DEA" w:rsidP="008E7101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D74D35">
        <w:rPr>
          <w:rFonts w:cs="Arial"/>
          <w:szCs w:val="22"/>
        </w:rPr>
        <w:t xml:space="preserve">Policy shall provide liability coverage </w:t>
      </w:r>
      <w:proofErr w:type="gramStart"/>
      <w:r w:rsidRPr="00D74D35">
        <w:rPr>
          <w:rFonts w:cs="Arial"/>
          <w:szCs w:val="22"/>
        </w:rPr>
        <w:t>in excess of</w:t>
      </w:r>
      <w:proofErr w:type="gramEnd"/>
      <w:r w:rsidRPr="00D74D35">
        <w:rPr>
          <w:rFonts w:cs="Arial"/>
          <w:szCs w:val="22"/>
        </w:rPr>
        <w:t xml:space="preserve"> the specified Employers Liability, </w:t>
      </w:r>
      <w:r w:rsidRPr="006B2CAF">
        <w:rPr>
          <w:rFonts w:cs="Arial"/>
          <w:szCs w:val="22"/>
        </w:rPr>
        <w:t>Commercial General Liability and Auto Liability.</w:t>
      </w:r>
      <w:r w:rsidR="00ED227F" w:rsidRPr="00ED227F">
        <w:rPr>
          <w:rFonts w:cs="Arial"/>
          <w:szCs w:val="22"/>
        </w:rPr>
        <w:t xml:space="preserve"> </w:t>
      </w:r>
    </w:p>
    <w:p w14:paraId="6920FF9D" w14:textId="77777777" w:rsidR="00ED227F" w:rsidRPr="00E26F70" w:rsidRDefault="00ED227F" w:rsidP="008E7101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E26F70">
        <w:rPr>
          <w:rFonts w:cs="Arial"/>
          <w:szCs w:val="22"/>
        </w:rPr>
        <w:t xml:space="preserve">The State of Nebraska, Department of </w:t>
      </w:r>
      <w:r w:rsidR="00A35134">
        <w:rPr>
          <w:rFonts w:cs="Arial"/>
          <w:szCs w:val="22"/>
        </w:rPr>
        <w:t>Transportation</w:t>
      </w:r>
      <w:r w:rsidRPr="00E26F70">
        <w:rPr>
          <w:rFonts w:cs="Arial"/>
          <w:szCs w:val="22"/>
        </w:rPr>
        <w:t xml:space="preserve">, </w:t>
      </w:r>
      <w:r w:rsidR="00D82319">
        <w:rPr>
          <w:rFonts w:cs="Arial"/>
          <w:szCs w:val="22"/>
        </w:rPr>
        <w:t>must</w:t>
      </w:r>
      <w:r w:rsidRPr="00E26F70">
        <w:rPr>
          <w:rFonts w:cs="Arial"/>
          <w:szCs w:val="22"/>
        </w:rPr>
        <w:t xml:space="preserve"> be </w:t>
      </w:r>
      <w:r w:rsidR="003F0273" w:rsidRPr="00E26F70">
        <w:rPr>
          <w:rFonts w:cs="Arial"/>
          <w:szCs w:val="22"/>
        </w:rPr>
        <w:t>an</w:t>
      </w:r>
      <w:r w:rsidRPr="00E26F70">
        <w:rPr>
          <w:rFonts w:cs="Arial"/>
          <w:szCs w:val="22"/>
        </w:rPr>
        <w:t xml:space="preserve"> “Additional Insured”</w:t>
      </w:r>
      <w:r w:rsidR="003F0273" w:rsidRPr="00E26F70">
        <w:rPr>
          <w:rFonts w:cs="Arial"/>
          <w:szCs w:val="22"/>
        </w:rPr>
        <w:t xml:space="preserve">.  </w:t>
      </w:r>
      <w:r w:rsidRPr="00E26F70">
        <w:rPr>
          <w:rFonts w:cs="Arial"/>
          <w:szCs w:val="22"/>
        </w:rPr>
        <w:t xml:space="preserve"> </w:t>
      </w:r>
    </w:p>
    <w:p w14:paraId="31FB0AFE" w14:textId="77777777" w:rsidR="0086147C" w:rsidRPr="00E26F70" w:rsidRDefault="000A6DEA" w:rsidP="008E7101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dstrike/>
          <w:szCs w:val="22"/>
        </w:rPr>
      </w:pPr>
      <w:r w:rsidRPr="00E26F70">
        <w:rPr>
          <w:rFonts w:cs="Arial"/>
          <w:szCs w:val="22"/>
        </w:rPr>
        <w:t xml:space="preserve">Consultant agrees to waive its rights of recovery against State.  Waiver of </w:t>
      </w:r>
      <w:r w:rsidR="003F0273" w:rsidRPr="00E26F70">
        <w:rPr>
          <w:rFonts w:cs="Arial"/>
          <w:szCs w:val="22"/>
        </w:rPr>
        <w:t>s</w:t>
      </w:r>
      <w:r w:rsidRPr="00E26F70">
        <w:rPr>
          <w:rFonts w:cs="Arial"/>
          <w:szCs w:val="22"/>
        </w:rPr>
        <w:t xml:space="preserve">ubrogation in favor of the State of Nebraska, Department of </w:t>
      </w:r>
      <w:r w:rsidR="00A35134">
        <w:rPr>
          <w:rFonts w:cs="Arial"/>
          <w:szCs w:val="22"/>
        </w:rPr>
        <w:t>Transportation</w:t>
      </w:r>
      <w:r w:rsidR="00C923DE" w:rsidRPr="00E26F70">
        <w:rPr>
          <w:rFonts w:cs="Arial"/>
          <w:szCs w:val="22"/>
        </w:rPr>
        <w:t xml:space="preserve"> </w:t>
      </w:r>
      <w:r w:rsidR="00EF644F">
        <w:rPr>
          <w:rFonts w:cs="Arial"/>
          <w:szCs w:val="22"/>
        </w:rPr>
        <w:t>must be added to, or included in, the policy</w:t>
      </w:r>
      <w:r w:rsidR="003F0273" w:rsidRPr="00E26F70">
        <w:rPr>
          <w:rFonts w:cs="Arial"/>
          <w:szCs w:val="22"/>
        </w:rPr>
        <w:t xml:space="preserve">. </w:t>
      </w:r>
    </w:p>
    <w:p w14:paraId="06E18DC4" w14:textId="77777777" w:rsidR="00DA3550" w:rsidRDefault="00DA3550" w:rsidP="008E7101">
      <w:pPr>
        <w:keepNext/>
        <w:keepLines/>
        <w:widowControl w:val="0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before="120" w:line="360" w:lineRule="auto"/>
        <w:ind w:left="547" w:hanging="547"/>
        <w:rPr>
          <w:rFonts w:cs="Arial"/>
          <w:b/>
          <w:szCs w:val="22"/>
        </w:rPr>
      </w:pPr>
      <w:r w:rsidRPr="008D076E">
        <w:rPr>
          <w:rFonts w:cs="Arial"/>
          <w:b/>
          <w:szCs w:val="22"/>
        </w:rPr>
        <w:t>Additional Requirements</w:t>
      </w:r>
      <w:r w:rsidR="0070608C" w:rsidRPr="008D076E">
        <w:rPr>
          <w:rFonts w:cs="Arial"/>
          <w:b/>
          <w:szCs w:val="22"/>
        </w:rPr>
        <w:t xml:space="preserve"> –</w:t>
      </w:r>
    </w:p>
    <w:p w14:paraId="1608435D" w14:textId="77777777" w:rsidR="006C0906" w:rsidRPr="006C0906" w:rsidRDefault="006C0906" w:rsidP="008E7101">
      <w:pPr>
        <w:pStyle w:val="ListParagraph"/>
        <w:keepNext/>
        <w:keepLines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6C0906">
        <w:rPr>
          <w:rFonts w:cs="Arial"/>
          <w:szCs w:val="22"/>
        </w:rPr>
        <w:t xml:space="preserve">If any of the work is sublet, equivalent insurance shall be provided by or on behalf of the subconsultant or subconsultants (at any </w:t>
      </w:r>
      <w:proofErr w:type="gramStart"/>
      <w:r w:rsidRPr="006C0906">
        <w:rPr>
          <w:rFonts w:cs="Arial"/>
          <w:szCs w:val="22"/>
        </w:rPr>
        <w:t>tier</w:t>
      </w:r>
      <w:proofErr w:type="gramEnd"/>
      <w:r w:rsidRPr="006C0906">
        <w:rPr>
          <w:rFonts w:cs="Arial"/>
          <w:szCs w:val="22"/>
        </w:rPr>
        <w:t>).</w:t>
      </w:r>
    </w:p>
    <w:p w14:paraId="560D123D" w14:textId="77777777" w:rsidR="00DA3550" w:rsidRPr="00856A75" w:rsidRDefault="00DA3550" w:rsidP="008E7101">
      <w:pPr>
        <w:keepNext/>
        <w:keepLines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856A75">
        <w:rPr>
          <w:rFonts w:cs="Arial"/>
          <w:szCs w:val="22"/>
        </w:rPr>
        <w:t xml:space="preserve">Any insurance policy shall be written by a reputable insurance company acceptable to State or with a current Best’s Insurance Guide Rating of A – and Class VII or </w:t>
      </w:r>
      <w:proofErr w:type="gramStart"/>
      <w:r w:rsidRPr="00856A75">
        <w:rPr>
          <w:rFonts w:cs="Arial"/>
          <w:szCs w:val="22"/>
        </w:rPr>
        <w:t>better, and</w:t>
      </w:r>
      <w:proofErr w:type="gramEnd"/>
      <w:r w:rsidRPr="00856A75">
        <w:rPr>
          <w:rFonts w:cs="Arial"/>
          <w:szCs w:val="22"/>
        </w:rPr>
        <w:t xml:space="preserve"> authorized to do business in Nebraska.  </w:t>
      </w:r>
    </w:p>
    <w:p w14:paraId="4E8184A0" w14:textId="77777777" w:rsidR="006C0906" w:rsidRPr="006C0906" w:rsidRDefault="006C0906" w:rsidP="006C0906">
      <w:pPr>
        <w:numPr>
          <w:ilvl w:val="0"/>
          <w:numId w:val="26"/>
        </w:numPr>
        <w:tabs>
          <w:tab w:val="left" w:pos="1080"/>
        </w:tabs>
        <w:spacing w:line="360" w:lineRule="auto"/>
        <w:ind w:left="1080" w:hanging="540"/>
      </w:pPr>
      <w:r w:rsidRPr="006C0906">
        <w:rPr>
          <w:rFonts w:cs="Arial"/>
          <w:szCs w:val="22"/>
        </w:rPr>
        <w:t>Prior to consultant beginning work on a project under this agreement, Consultant shall provide State evidence of such insurance coverage in effect in the form of an A</w:t>
      </w:r>
      <w:r w:rsidR="00E10C08">
        <w:rPr>
          <w:rFonts w:cs="Arial"/>
          <w:szCs w:val="22"/>
        </w:rPr>
        <w:t>CORD</w:t>
      </w:r>
      <w:r w:rsidRPr="006C0906">
        <w:rPr>
          <w:rFonts w:cs="Arial"/>
          <w:szCs w:val="22"/>
        </w:rPr>
        <w:t xml:space="preserve"> (or equivalent) certificate of insurance executed by a licensed representative of the participating insurer(s).  Certificates of insurance must show the </w:t>
      </w:r>
      <w:r>
        <w:rPr>
          <w:rFonts w:cs="Arial"/>
          <w:szCs w:val="22"/>
        </w:rPr>
        <w:t>State</w:t>
      </w:r>
      <w:r w:rsidRPr="006C0906">
        <w:rPr>
          <w:rFonts w:cs="Arial"/>
          <w:szCs w:val="22"/>
        </w:rPr>
        <w:t xml:space="preserve"> as the certificate holder.</w:t>
      </w:r>
    </w:p>
    <w:p w14:paraId="59C9DF7E" w14:textId="77777777" w:rsidR="006C0906" w:rsidRDefault="006C0906" w:rsidP="006C0906">
      <w:pPr>
        <w:tabs>
          <w:tab w:val="left" w:pos="1080"/>
        </w:tabs>
        <w:spacing w:line="360" w:lineRule="auto"/>
        <w:ind w:left="1080"/>
      </w:pPr>
      <w:r>
        <w:br w:type="page"/>
      </w:r>
    </w:p>
    <w:p w14:paraId="308FB7CC" w14:textId="77777777" w:rsidR="006C0906" w:rsidRPr="006C0906" w:rsidRDefault="006C0906" w:rsidP="006C0906">
      <w:pPr>
        <w:tabs>
          <w:tab w:val="left" w:pos="1080"/>
        </w:tabs>
        <w:spacing w:line="360" w:lineRule="auto"/>
        <w:ind w:left="1080"/>
      </w:pPr>
    </w:p>
    <w:p w14:paraId="148ACA7B" w14:textId="77777777" w:rsidR="0028510B" w:rsidRPr="00856A75" w:rsidRDefault="0028510B" w:rsidP="006C0906">
      <w:pPr>
        <w:numPr>
          <w:ilvl w:val="0"/>
          <w:numId w:val="26"/>
        </w:numPr>
        <w:tabs>
          <w:tab w:val="left" w:pos="1080"/>
        </w:tabs>
        <w:spacing w:line="360" w:lineRule="auto"/>
        <w:ind w:left="1080" w:hanging="540"/>
      </w:pPr>
      <w:r w:rsidRPr="00856A75">
        <w:t xml:space="preserve">For so long as insurance coverage is required under this agreement, Consultant shall </w:t>
      </w:r>
      <w:r>
        <w:t xml:space="preserve">notify State when Consultant knows, or has reason to believe, that any insurance coverage required under this agreement will lapse, or may be canceled or terminated.  Consultant </w:t>
      </w:r>
      <w:r w:rsidR="00D664DA">
        <w:t>shall</w:t>
      </w:r>
      <w:r>
        <w:t xml:space="preserve"> forward any pertinent notice of cancelation or termination to</w:t>
      </w:r>
      <w:r w:rsidR="00D82319">
        <w:t xml:space="preserve"> </w:t>
      </w:r>
      <w:r>
        <w:t xml:space="preserve">State, at the address listed below by mail (return </w:t>
      </w:r>
      <w:r w:rsidRPr="00856A75">
        <w:t xml:space="preserve">receipt requested), hand-delivery or facsimile transmission within </w:t>
      </w:r>
      <w:r w:rsidR="00EF644F">
        <w:t>two (</w:t>
      </w:r>
      <w:r w:rsidRPr="00856A75">
        <w:t>2</w:t>
      </w:r>
      <w:r w:rsidR="00EF644F">
        <w:t>)</w:t>
      </w:r>
      <w:r w:rsidRPr="00856A75">
        <w:t xml:space="preserve"> business days of receipt by </w:t>
      </w:r>
      <w:proofErr w:type="gramStart"/>
      <w:r w:rsidRPr="00856A75">
        <w:t>Consultant</w:t>
      </w:r>
      <w:proofErr w:type="gramEnd"/>
      <w:r w:rsidRPr="00856A75">
        <w:t xml:space="preserve"> of any such notice from an insurance carrier.  Notice shall be sent to:</w:t>
      </w:r>
    </w:p>
    <w:p w14:paraId="2B867B18" w14:textId="77777777" w:rsidR="0028510B" w:rsidRPr="00856A75" w:rsidRDefault="0028510B" w:rsidP="008E7101">
      <w:pPr>
        <w:ind w:left="1440"/>
      </w:pPr>
      <w:r w:rsidRPr="00856A75">
        <w:t xml:space="preserve">Nebraska Department of </w:t>
      </w:r>
      <w:r w:rsidR="00A35134">
        <w:rPr>
          <w:rFonts w:cs="Arial"/>
          <w:szCs w:val="22"/>
        </w:rPr>
        <w:t>Transportation</w:t>
      </w:r>
      <w:r w:rsidRPr="00856A75">
        <w:t xml:space="preserve"> </w:t>
      </w:r>
    </w:p>
    <w:p w14:paraId="612D1A37" w14:textId="77777777" w:rsidR="007C6A82" w:rsidRPr="00856A75" w:rsidRDefault="00A35134" w:rsidP="007C6A82">
      <w:pPr>
        <w:ind w:left="1440"/>
      </w:pPr>
      <w:r>
        <w:t>Consultant Services</w:t>
      </w:r>
      <w:r w:rsidR="0028510B" w:rsidRPr="00856A75">
        <w:t xml:space="preserve"> – Insurance</w:t>
      </w:r>
    </w:p>
    <w:p w14:paraId="1A53894C" w14:textId="77777777" w:rsidR="0028510B" w:rsidRPr="00856A75" w:rsidRDefault="0028510B" w:rsidP="008E7101">
      <w:pPr>
        <w:ind w:left="1440"/>
      </w:pPr>
      <w:r w:rsidRPr="00856A75">
        <w:t>1500 Highway 2, P. O. Box 94759</w:t>
      </w:r>
    </w:p>
    <w:p w14:paraId="11C6EFDF" w14:textId="77777777" w:rsidR="0028510B" w:rsidRPr="00856A75" w:rsidRDefault="0028510B" w:rsidP="008E7101">
      <w:pPr>
        <w:ind w:left="1440"/>
      </w:pPr>
      <w:r w:rsidRPr="00856A75">
        <w:t>Lincoln, NE 68509-4759</w:t>
      </w:r>
    </w:p>
    <w:p w14:paraId="17ECE786" w14:textId="77777777" w:rsidR="0028510B" w:rsidRPr="00856A75" w:rsidRDefault="007C6A82" w:rsidP="007C6A82">
      <w:pPr>
        <w:spacing w:line="360" w:lineRule="auto"/>
        <w:ind w:left="1440"/>
      </w:pPr>
      <w:hyperlink r:id="rId9" w:history="1">
        <w:r w:rsidRPr="00B268FA">
          <w:rPr>
            <w:rStyle w:val="Hyperlink"/>
          </w:rPr>
          <w:t>NDOT.ConsultantInsurance@nebraska.gov</w:t>
        </w:r>
      </w:hyperlink>
    </w:p>
    <w:p w14:paraId="767ACB48" w14:textId="77777777" w:rsidR="00DA3550" w:rsidRPr="00583666" w:rsidRDefault="00DA3550" w:rsidP="008E7101">
      <w:pPr>
        <w:keepLines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1080" w:hanging="540"/>
        <w:rPr>
          <w:rFonts w:cs="Arial"/>
          <w:szCs w:val="22"/>
        </w:rPr>
      </w:pPr>
      <w:r w:rsidRPr="00856A75">
        <w:rPr>
          <w:rFonts w:cs="Arial"/>
          <w:szCs w:val="22"/>
        </w:rPr>
        <w:t xml:space="preserve">Failure of the owner or any other party to review, approve, and/or reject a certificate of </w:t>
      </w:r>
      <w:r w:rsidRPr="00583666">
        <w:rPr>
          <w:rFonts w:cs="Arial"/>
          <w:szCs w:val="22"/>
        </w:rPr>
        <w:t xml:space="preserve">insurance in whole or in part does not waive the requirements of this </w:t>
      </w:r>
      <w:r w:rsidR="00E15766">
        <w:rPr>
          <w:rFonts w:cs="Arial"/>
          <w:szCs w:val="22"/>
        </w:rPr>
        <w:t>A</w:t>
      </w:r>
      <w:r w:rsidRPr="00583666">
        <w:rPr>
          <w:rFonts w:cs="Arial"/>
          <w:szCs w:val="22"/>
        </w:rPr>
        <w:t xml:space="preserve">greement.  </w:t>
      </w:r>
    </w:p>
    <w:p w14:paraId="5FD56D8F" w14:textId="77777777" w:rsidR="00ED227F" w:rsidRPr="00583666" w:rsidRDefault="00ED227F" w:rsidP="008E7101">
      <w:pPr>
        <w:keepLines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after="120" w:line="360" w:lineRule="auto"/>
        <w:ind w:left="1080" w:hanging="540"/>
        <w:rPr>
          <w:rFonts w:cs="Arial"/>
          <w:szCs w:val="22"/>
        </w:rPr>
      </w:pPr>
      <w:r w:rsidRPr="00583666">
        <w:rPr>
          <w:rFonts w:cs="Arial"/>
          <w:szCs w:val="22"/>
        </w:rPr>
        <w:t xml:space="preserve">The Limits of Coverage’s set forth in this document are minimum limits of coverage.  The limits of coverage shall not be construed to be a limitation of the liability on the part of </w:t>
      </w:r>
      <w:proofErr w:type="gramStart"/>
      <w:r w:rsidR="00D82319">
        <w:rPr>
          <w:rFonts w:cs="Arial"/>
          <w:szCs w:val="22"/>
        </w:rPr>
        <w:t>C</w:t>
      </w:r>
      <w:r w:rsidRPr="00583666">
        <w:rPr>
          <w:rFonts w:cs="Arial"/>
          <w:szCs w:val="22"/>
        </w:rPr>
        <w:t>on</w:t>
      </w:r>
      <w:r w:rsidR="00A75903" w:rsidRPr="00583666">
        <w:rPr>
          <w:rFonts w:cs="Arial"/>
          <w:szCs w:val="22"/>
        </w:rPr>
        <w:t>sultant</w:t>
      </w:r>
      <w:proofErr w:type="gramEnd"/>
      <w:r w:rsidRPr="00583666">
        <w:rPr>
          <w:rFonts w:cs="Arial"/>
          <w:szCs w:val="22"/>
        </w:rPr>
        <w:t xml:space="preserve"> or any of its subcon</w:t>
      </w:r>
      <w:r w:rsidR="00A75903" w:rsidRPr="00583666">
        <w:rPr>
          <w:rFonts w:cs="Arial"/>
          <w:szCs w:val="22"/>
        </w:rPr>
        <w:t>sultants</w:t>
      </w:r>
      <w:r w:rsidRPr="00583666">
        <w:rPr>
          <w:rFonts w:cs="Arial"/>
          <w:szCs w:val="22"/>
        </w:rPr>
        <w:t>/tier subcon</w:t>
      </w:r>
      <w:r w:rsidR="00A75903" w:rsidRPr="00583666">
        <w:rPr>
          <w:rFonts w:cs="Arial"/>
          <w:szCs w:val="22"/>
        </w:rPr>
        <w:t>sultants</w:t>
      </w:r>
      <w:r w:rsidRPr="00583666">
        <w:rPr>
          <w:rFonts w:cs="Arial"/>
          <w:szCs w:val="22"/>
        </w:rPr>
        <w:t xml:space="preserve">.  The carrying of insurance described shall in no way be interpreted as relieving </w:t>
      </w:r>
      <w:r w:rsidR="00D82319">
        <w:rPr>
          <w:rFonts w:cs="Arial"/>
          <w:szCs w:val="22"/>
        </w:rPr>
        <w:t>C</w:t>
      </w:r>
      <w:r w:rsidRPr="00583666">
        <w:rPr>
          <w:rFonts w:cs="Arial"/>
          <w:szCs w:val="22"/>
        </w:rPr>
        <w:t>on</w:t>
      </w:r>
      <w:r w:rsidR="00A75903" w:rsidRPr="00583666">
        <w:rPr>
          <w:rFonts w:cs="Arial"/>
          <w:szCs w:val="22"/>
        </w:rPr>
        <w:t>sultant</w:t>
      </w:r>
      <w:r w:rsidRPr="00583666">
        <w:rPr>
          <w:rFonts w:cs="Arial"/>
          <w:szCs w:val="22"/>
        </w:rPr>
        <w:t>, subcon</w:t>
      </w:r>
      <w:r w:rsidR="00A75903" w:rsidRPr="00583666">
        <w:rPr>
          <w:rFonts w:cs="Arial"/>
          <w:szCs w:val="22"/>
        </w:rPr>
        <w:t>sultant</w:t>
      </w:r>
      <w:r w:rsidRPr="00583666">
        <w:rPr>
          <w:rFonts w:cs="Arial"/>
          <w:szCs w:val="22"/>
        </w:rPr>
        <w:t>, or tier subcon</w:t>
      </w:r>
      <w:r w:rsidR="00A75903" w:rsidRPr="00583666">
        <w:rPr>
          <w:rFonts w:cs="Arial"/>
          <w:szCs w:val="22"/>
        </w:rPr>
        <w:t>sultant</w:t>
      </w:r>
      <w:r w:rsidRPr="00583666">
        <w:rPr>
          <w:rFonts w:cs="Arial"/>
          <w:szCs w:val="22"/>
        </w:rPr>
        <w:t xml:space="preserve"> of any responsibility of</w:t>
      </w:r>
      <w:r w:rsidR="00A35899" w:rsidRPr="00583666">
        <w:rPr>
          <w:rFonts w:cs="Arial"/>
          <w:szCs w:val="22"/>
        </w:rPr>
        <w:t xml:space="preserve"> liability under the </w:t>
      </w:r>
      <w:r w:rsidR="00D82319">
        <w:rPr>
          <w:rFonts w:cs="Arial"/>
          <w:szCs w:val="22"/>
        </w:rPr>
        <w:t>Agreement</w:t>
      </w:r>
      <w:r w:rsidR="00A35899" w:rsidRPr="00583666">
        <w:rPr>
          <w:rFonts w:cs="Arial"/>
          <w:szCs w:val="22"/>
        </w:rPr>
        <w:t>.</w:t>
      </w:r>
    </w:p>
    <w:p w14:paraId="19D8F014" w14:textId="77777777" w:rsidR="00ED227F" w:rsidRPr="00583666" w:rsidRDefault="00ED227F" w:rsidP="008E7101">
      <w:pPr>
        <w:keepLines/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540"/>
        <w:rPr>
          <w:rFonts w:cs="Arial"/>
          <w:szCs w:val="22"/>
        </w:rPr>
      </w:pPr>
      <w:r w:rsidRPr="00583666">
        <w:rPr>
          <w:rFonts w:cs="Arial"/>
          <w:szCs w:val="22"/>
        </w:rPr>
        <w:t>If there is a discrepancy of coverage between this document and any other insurance specific</w:t>
      </w:r>
      <w:r w:rsidR="00317BD2" w:rsidRPr="00583666">
        <w:rPr>
          <w:rFonts w:cs="Arial"/>
          <w:szCs w:val="22"/>
        </w:rPr>
        <w:t>a</w:t>
      </w:r>
      <w:r w:rsidRPr="00583666">
        <w:rPr>
          <w:rFonts w:cs="Arial"/>
          <w:szCs w:val="22"/>
        </w:rPr>
        <w:t>tion for this project, the greater limit or coverag</w:t>
      </w:r>
      <w:r w:rsidR="00A35899" w:rsidRPr="00583666">
        <w:rPr>
          <w:rFonts w:cs="Arial"/>
          <w:szCs w:val="22"/>
        </w:rPr>
        <w:t xml:space="preserve">e requirement </w:t>
      </w:r>
      <w:r w:rsidR="00D664DA">
        <w:rPr>
          <w:rFonts w:cs="Arial"/>
          <w:szCs w:val="22"/>
        </w:rPr>
        <w:t>will</w:t>
      </w:r>
      <w:r w:rsidR="00A35899" w:rsidRPr="00583666">
        <w:rPr>
          <w:rFonts w:cs="Arial"/>
          <w:szCs w:val="22"/>
        </w:rPr>
        <w:t xml:space="preserve"> prevail.</w:t>
      </w:r>
    </w:p>
    <w:p w14:paraId="327EDCAC" w14:textId="77777777" w:rsidR="000A6DEA" w:rsidRDefault="000A6DEA" w:rsidP="008E7101">
      <w:pPr>
        <w:keepNext/>
        <w:keepLines/>
        <w:spacing w:after="120" w:line="360" w:lineRule="auto"/>
        <w:ind w:right="-120"/>
      </w:pPr>
    </w:p>
    <w:sectPr w:rsidR="000A6DEA" w:rsidSect="002E474A">
      <w:headerReference w:type="default" r:id="rId10"/>
      <w:footerReference w:type="default" r:id="rId11"/>
      <w:pgSz w:w="12240" w:h="15840" w:code="1"/>
      <w:pgMar w:top="1440" w:right="1296" w:bottom="1440" w:left="1296" w:header="576" w:footer="720" w:gutter="0"/>
      <w:paperSrc w:first="7" w:other="7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08CF" w14:textId="77777777" w:rsidR="0031625C" w:rsidRDefault="0031625C">
      <w:r>
        <w:separator/>
      </w:r>
    </w:p>
  </w:endnote>
  <w:endnote w:type="continuationSeparator" w:id="0">
    <w:p w14:paraId="45C72864" w14:textId="77777777" w:rsidR="0031625C" w:rsidRDefault="0031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2561" w14:textId="77777777" w:rsidR="002E474A" w:rsidRDefault="002E474A" w:rsidP="002E474A">
    <w:pPr>
      <w:pStyle w:val="Footer"/>
      <w:tabs>
        <w:tab w:val="clear" w:pos="8640"/>
        <w:tab w:val="right" w:pos="9630"/>
      </w:tabs>
      <w:rPr>
        <w:rFonts w:cs="Arial"/>
        <w:sz w:val="20"/>
      </w:rPr>
    </w:pPr>
    <w:r w:rsidRPr="00A720E0">
      <w:rPr>
        <w:rFonts w:cs="Arial"/>
        <w:sz w:val="20"/>
      </w:rPr>
      <w:t xml:space="preserve">Project No. </w:t>
    </w:r>
    <w:r w:rsidRPr="00A720E0">
      <w:rPr>
        <w:rFonts w:cs="Arial"/>
        <w:sz w:val="20"/>
        <w:highlight w:val="yellow"/>
      </w:rPr>
      <w:t>project number</w:t>
    </w:r>
    <w:r>
      <w:rPr>
        <w:rFonts w:cs="Arial"/>
        <w:sz w:val="20"/>
      </w:rPr>
      <w:tab/>
    </w:r>
    <w:r w:rsidRPr="00A720E0">
      <w:rPr>
        <w:rFonts w:cs="Arial"/>
        <w:sz w:val="20"/>
      </w:rPr>
      <w:tab/>
    </w:r>
    <w:r w:rsidR="008D3DEC" w:rsidRPr="00A720E0">
      <w:rPr>
        <w:rFonts w:cs="Arial"/>
        <w:sz w:val="20"/>
      </w:rPr>
      <w:t xml:space="preserve">Sheet </w:t>
    </w:r>
    <w:r w:rsidR="008D3DEC" w:rsidRPr="00A720E0">
      <w:rPr>
        <w:rFonts w:cs="Arial"/>
        <w:sz w:val="20"/>
      </w:rPr>
      <w:fldChar w:fldCharType="begin"/>
    </w:r>
    <w:r w:rsidR="008D3DEC" w:rsidRPr="00A720E0">
      <w:rPr>
        <w:rFonts w:cs="Arial"/>
        <w:sz w:val="20"/>
      </w:rPr>
      <w:instrText xml:space="preserve"> PAGE   \* MERGEFORMAT </w:instrText>
    </w:r>
    <w:r w:rsidR="008D3DEC" w:rsidRPr="00A720E0">
      <w:rPr>
        <w:rFonts w:cs="Arial"/>
        <w:sz w:val="20"/>
      </w:rPr>
      <w:fldChar w:fldCharType="separate"/>
    </w:r>
    <w:r w:rsidR="00DB76AC">
      <w:rPr>
        <w:rFonts w:cs="Arial"/>
        <w:noProof/>
        <w:sz w:val="20"/>
      </w:rPr>
      <w:t>1</w:t>
    </w:r>
    <w:r w:rsidR="008D3DEC" w:rsidRPr="00A720E0">
      <w:rPr>
        <w:rFonts w:cs="Arial"/>
        <w:sz w:val="20"/>
      </w:rPr>
      <w:fldChar w:fldCharType="end"/>
    </w:r>
    <w:r w:rsidR="008D3DEC" w:rsidRPr="00A720E0">
      <w:rPr>
        <w:rFonts w:cs="Arial"/>
        <w:sz w:val="20"/>
      </w:rPr>
      <w:t xml:space="preserve"> of </w:t>
    </w:r>
    <w:r w:rsidR="008D3DEC" w:rsidRPr="00A720E0">
      <w:rPr>
        <w:rFonts w:cs="Arial"/>
        <w:sz w:val="20"/>
      </w:rPr>
      <w:fldChar w:fldCharType="begin"/>
    </w:r>
    <w:r w:rsidR="008D3DEC" w:rsidRPr="00A720E0">
      <w:rPr>
        <w:rFonts w:cs="Arial"/>
        <w:sz w:val="20"/>
      </w:rPr>
      <w:instrText xml:space="preserve"> NUMPAGES  \# "0" \* Arabic  \* MERGEFORMAT </w:instrText>
    </w:r>
    <w:r w:rsidR="008D3DEC" w:rsidRPr="00A720E0">
      <w:rPr>
        <w:rFonts w:cs="Arial"/>
        <w:sz w:val="20"/>
      </w:rPr>
      <w:fldChar w:fldCharType="separate"/>
    </w:r>
    <w:r w:rsidR="00DB76AC">
      <w:rPr>
        <w:rFonts w:cs="Arial"/>
        <w:noProof/>
        <w:sz w:val="20"/>
      </w:rPr>
      <w:t>4</w:t>
    </w:r>
    <w:r w:rsidR="008D3DEC" w:rsidRPr="00A720E0">
      <w:rPr>
        <w:rFonts w:cs="Arial"/>
        <w:sz w:val="20"/>
      </w:rPr>
      <w:fldChar w:fldCharType="end"/>
    </w:r>
  </w:p>
  <w:p w14:paraId="4416A985" w14:textId="77777777" w:rsidR="00C76450" w:rsidRPr="002E474A" w:rsidRDefault="002E474A" w:rsidP="002E474A">
    <w:pPr>
      <w:pStyle w:val="Footer"/>
      <w:tabs>
        <w:tab w:val="clear" w:pos="8640"/>
        <w:tab w:val="right" w:pos="9630"/>
      </w:tabs>
      <w:rPr>
        <w:rFonts w:cs="Arial"/>
        <w:sz w:val="20"/>
      </w:rPr>
    </w:pPr>
    <w:r w:rsidRPr="00A720E0">
      <w:rPr>
        <w:rFonts w:cs="Arial"/>
        <w:sz w:val="20"/>
      </w:rPr>
      <w:t xml:space="preserve">Control No. </w:t>
    </w:r>
    <w:r>
      <w:rPr>
        <w:rFonts w:cs="Arial"/>
        <w:sz w:val="20"/>
        <w:highlight w:val="yellow"/>
      </w:rPr>
      <w:t>12345</w:t>
    </w:r>
    <w:r>
      <w:rPr>
        <w:rFonts w:cs="Arial"/>
        <w:sz w:val="20"/>
      </w:rPr>
      <w:tab/>
    </w:r>
    <w:r w:rsidRPr="00A720E0">
      <w:rPr>
        <w:rFonts w:cs="Arial"/>
        <w:sz w:val="20"/>
      </w:rPr>
      <w:tab/>
    </w:r>
    <w:r w:rsidR="008D3DEC">
      <w:rPr>
        <w:rFonts w:cs="Arial"/>
        <w:sz w:val="20"/>
      </w:rPr>
      <w:t xml:space="preserve">Agreement No. </w:t>
    </w:r>
    <w:r w:rsidR="008D3DEC">
      <w:rPr>
        <w:rFonts w:cs="Arial"/>
        <w:sz w:val="20"/>
        <w:highlight w:val="yellow"/>
      </w:rPr>
      <w:t>V</w:t>
    </w:r>
    <w:r w:rsidR="008D3DEC" w:rsidRPr="008D3DEC">
      <w:rPr>
        <w:rFonts w:cs="Arial"/>
        <w:sz w:val="20"/>
        <w:highlight w:val="yellow"/>
      </w:rPr>
      <w:t>K1500-01</w:t>
    </w:r>
    <w:r w:rsidRPr="00A720E0">
      <w:rPr>
        <w:rFonts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3B7B" w14:textId="77777777" w:rsidR="0031625C" w:rsidRDefault="0031625C">
      <w:r>
        <w:separator/>
      </w:r>
    </w:p>
  </w:footnote>
  <w:footnote w:type="continuationSeparator" w:id="0">
    <w:p w14:paraId="335BB239" w14:textId="77777777" w:rsidR="0031625C" w:rsidRDefault="0031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2A12" w14:textId="77777777" w:rsidR="002E474A" w:rsidRPr="00A720E0" w:rsidRDefault="002E474A" w:rsidP="002E474A">
    <w:pPr>
      <w:tabs>
        <w:tab w:val="right" w:pos="9630"/>
      </w:tabs>
      <w:rPr>
        <w:rFonts w:cs="Arial"/>
        <w:b/>
        <w:bCs/>
        <w:u w:val="single"/>
      </w:rPr>
    </w:pPr>
    <w:r w:rsidRPr="002E474A">
      <w:rPr>
        <w:rFonts w:cs="Arial"/>
        <w:b/>
        <w:bCs/>
      </w:rPr>
      <w:tab/>
    </w:r>
    <w:r w:rsidRPr="00A720E0">
      <w:rPr>
        <w:rFonts w:cs="Arial"/>
        <w:b/>
        <w:bCs/>
        <w:u w:val="single"/>
      </w:rPr>
      <w:t>EXHIBIT "</w:t>
    </w:r>
    <w:r w:rsidRPr="002E474A">
      <w:rPr>
        <w:rFonts w:cs="Arial"/>
        <w:b/>
        <w:bCs/>
        <w:highlight w:val="yellow"/>
        <w:u w:val="single"/>
      </w:rPr>
      <w:t>E</w:t>
    </w:r>
    <w:r w:rsidRPr="00A720E0">
      <w:rPr>
        <w:rFonts w:cs="Arial"/>
        <w:b/>
        <w:bCs/>
        <w:u w:val="single"/>
      </w:rPr>
      <w:t>"</w:t>
    </w:r>
  </w:p>
  <w:p w14:paraId="235FC04B" w14:textId="77777777" w:rsidR="002E474A" w:rsidRDefault="002E474A" w:rsidP="002E474A">
    <w:pPr>
      <w:tabs>
        <w:tab w:val="right" w:pos="9630"/>
      </w:tabs>
      <w:rPr>
        <w:rFonts w:cs="Arial"/>
        <w:bCs/>
      </w:rPr>
    </w:pPr>
    <w:r>
      <w:rPr>
        <w:rFonts w:cs="Arial"/>
        <w:bCs/>
      </w:rPr>
      <w:tab/>
      <w:t>INSURANCE REQUIREMENTS FOR</w:t>
    </w:r>
  </w:p>
  <w:p w14:paraId="2B60C93A" w14:textId="17FB70C8" w:rsidR="002E474A" w:rsidRPr="00A720E0" w:rsidRDefault="002E474A" w:rsidP="002E474A">
    <w:pPr>
      <w:tabs>
        <w:tab w:val="right" w:pos="9630"/>
      </w:tabs>
      <w:rPr>
        <w:rFonts w:cs="Arial"/>
        <w:bCs/>
      </w:rPr>
    </w:pPr>
    <w:r>
      <w:rPr>
        <w:rFonts w:cs="Arial"/>
        <w:bCs/>
      </w:rPr>
      <w:tab/>
      <w:t>PROFESSIONAL SERVICE PROVID</w:t>
    </w:r>
    <w:r w:rsidR="00D53182">
      <w:rPr>
        <w:rFonts w:cs="Arial"/>
        <w:bCs/>
      </w:rPr>
      <w:t>E</w:t>
    </w:r>
    <w:r>
      <w:rPr>
        <w:rFonts w:cs="Arial"/>
        <w:bCs/>
      </w:rPr>
      <w:t>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4A5"/>
    <w:multiLevelType w:val="hybridMultilevel"/>
    <w:tmpl w:val="1AE42064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 w15:restartNumberingAfterBreak="0">
    <w:nsid w:val="01345052"/>
    <w:multiLevelType w:val="hybridMultilevel"/>
    <w:tmpl w:val="5A14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5C40"/>
    <w:multiLevelType w:val="hybridMultilevel"/>
    <w:tmpl w:val="B2C823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A433C"/>
    <w:multiLevelType w:val="hybridMultilevel"/>
    <w:tmpl w:val="3FDC5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8206E"/>
    <w:multiLevelType w:val="hybridMultilevel"/>
    <w:tmpl w:val="CA247C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05B0"/>
    <w:multiLevelType w:val="hybridMultilevel"/>
    <w:tmpl w:val="E6EA30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55B6"/>
    <w:multiLevelType w:val="hybridMultilevel"/>
    <w:tmpl w:val="D9B44CD6"/>
    <w:lvl w:ilvl="0" w:tplc="44E8EE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A19FC"/>
    <w:multiLevelType w:val="hybridMultilevel"/>
    <w:tmpl w:val="170C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95C27"/>
    <w:multiLevelType w:val="hybridMultilevel"/>
    <w:tmpl w:val="2D14C1D8"/>
    <w:lvl w:ilvl="0" w:tplc="F62A465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1707"/>
    <w:multiLevelType w:val="hybridMultilevel"/>
    <w:tmpl w:val="D94E23AC"/>
    <w:lvl w:ilvl="0" w:tplc="EDF68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C12BC"/>
    <w:multiLevelType w:val="hybridMultilevel"/>
    <w:tmpl w:val="0AEC7E12"/>
    <w:lvl w:ilvl="0" w:tplc="F62A4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B52AE"/>
    <w:multiLevelType w:val="hybridMultilevel"/>
    <w:tmpl w:val="95AC4D70"/>
    <w:lvl w:ilvl="0" w:tplc="F62A4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433DC"/>
    <w:multiLevelType w:val="hybridMultilevel"/>
    <w:tmpl w:val="69484768"/>
    <w:lvl w:ilvl="0" w:tplc="F62A46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37863"/>
    <w:multiLevelType w:val="hybridMultilevel"/>
    <w:tmpl w:val="8B98A724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2C980256"/>
    <w:multiLevelType w:val="hybridMultilevel"/>
    <w:tmpl w:val="8438E912"/>
    <w:lvl w:ilvl="0" w:tplc="F62A4654">
      <w:start w:val="1"/>
      <w:numFmt w:val="decimal"/>
      <w:lvlText w:val="(%1)"/>
      <w:lvlJc w:val="left"/>
      <w:pPr>
        <w:ind w:left="5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06E31CA"/>
    <w:multiLevelType w:val="hybridMultilevel"/>
    <w:tmpl w:val="98A437EE"/>
    <w:lvl w:ilvl="0" w:tplc="3642E8E0">
      <w:start w:val="1"/>
      <w:numFmt w:val="decimal"/>
      <w:lvlText w:val="(%1)"/>
      <w:lvlJc w:val="left"/>
      <w:pPr>
        <w:ind w:left="1446" w:hanging="360"/>
      </w:pPr>
      <w:rPr>
        <w:rFonts w:hint="default"/>
        <w:dstrike w:val="0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 w15:restartNumberingAfterBreak="0">
    <w:nsid w:val="31B3519C"/>
    <w:multiLevelType w:val="hybridMultilevel"/>
    <w:tmpl w:val="0CF8FE00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7" w15:restartNumberingAfterBreak="0">
    <w:nsid w:val="35565E81"/>
    <w:multiLevelType w:val="hybridMultilevel"/>
    <w:tmpl w:val="938CE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0032AE"/>
    <w:multiLevelType w:val="hybridMultilevel"/>
    <w:tmpl w:val="AE10097C"/>
    <w:lvl w:ilvl="0" w:tplc="F62A4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658FF"/>
    <w:multiLevelType w:val="hybridMultilevel"/>
    <w:tmpl w:val="C218BD98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0" w15:restartNumberingAfterBreak="0">
    <w:nsid w:val="5D1F2D62"/>
    <w:multiLevelType w:val="hybridMultilevel"/>
    <w:tmpl w:val="28E891FA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1" w15:restartNumberingAfterBreak="0">
    <w:nsid w:val="78801B14"/>
    <w:multiLevelType w:val="hybridMultilevel"/>
    <w:tmpl w:val="6E8A32DA"/>
    <w:lvl w:ilvl="0" w:tplc="F62A4654">
      <w:start w:val="1"/>
      <w:numFmt w:val="decimal"/>
      <w:lvlText w:val="(%1)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2" w15:restartNumberingAfterBreak="0">
    <w:nsid w:val="7A096E7C"/>
    <w:multiLevelType w:val="hybridMultilevel"/>
    <w:tmpl w:val="6DA261A6"/>
    <w:lvl w:ilvl="0" w:tplc="F62A4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E4859"/>
    <w:multiLevelType w:val="hybridMultilevel"/>
    <w:tmpl w:val="8096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207BB"/>
    <w:multiLevelType w:val="hybridMultilevel"/>
    <w:tmpl w:val="9D265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884B20"/>
    <w:multiLevelType w:val="hybridMultilevel"/>
    <w:tmpl w:val="B6B83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020299">
    <w:abstractNumId w:val="9"/>
  </w:num>
  <w:num w:numId="2" w16cid:durableId="1720130267">
    <w:abstractNumId w:val="23"/>
  </w:num>
  <w:num w:numId="3" w16cid:durableId="1944485697">
    <w:abstractNumId w:val="22"/>
  </w:num>
  <w:num w:numId="4" w16cid:durableId="54552146">
    <w:abstractNumId w:val="12"/>
  </w:num>
  <w:num w:numId="5" w16cid:durableId="993296155">
    <w:abstractNumId w:val="24"/>
  </w:num>
  <w:num w:numId="6" w16cid:durableId="1030105792">
    <w:abstractNumId w:val="7"/>
  </w:num>
  <w:num w:numId="7" w16cid:durableId="460922358">
    <w:abstractNumId w:val="17"/>
  </w:num>
  <w:num w:numId="8" w16cid:durableId="113646707">
    <w:abstractNumId w:val="25"/>
  </w:num>
  <w:num w:numId="9" w16cid:durableId="1409033961">
    <w:abstractNumId w:val="3"/>
  </w:num>
  <w:num w:numId="10" w16cid:durableId="2021469408">
    <w:abstractNumId w:val="10"/>
  </w:num>
  <w:num w:numId="11" w16cid:durableId="543449498">
    <w:abstractNumId w:val="1"/>
  </w:num>
  <w:num w:numId="12" w16cid:durableId="1686394615">
    <w:abstractNumId w:val="6"/>
  </w:num>
  <w:num w:numId="13" w16cid:durableId="1480029351">
    <w:abstractNumId w:val="20"/>
  </w:num>
  <w:num w:numId="14" w16cid:durableId="1262184650">
    <w:abstractNumId w:val="2"/>
  </w:num>
  <w:num w:numId="15" w16cid:durableId="1329094476">
    <w:abstractNumId w:val="5"/>
  </w:num>
  <w:num w:numId="16" w16cid:durableId="1679458269">
    <w:abstractNumId w:val="14"/>
  </w:num>
  <w:num w:numId="17" w16cid:durableId="970213648">
    <w:abstractNumId w:val="8"/>
  </w:num>
  <w:num w:numId="18" w16cid:durableId="1512187544">
    <w:abstractNumId w:val="4"/>
  </w:num>
  <w:num w:numId="19" w16cid:durableId="483279530">
    <w:abstractNumId w:val="21"/>
  </w:num>
  <w:num w:numId="20" w16cid:durableId="2117945888">
    <w:abstractNumId w:val="0"/>
  </w:num>
  <w:num w:numId="21" w16cid:durableId="1188102596">
    <w:abstractNumId w:val="13"/>
  </w:num>
  <w:num w:numId="22" w16cid:durableId="2113284890">
    <w:abstractNumId w:val="18"/>
  </w:num>
  <w:num w:numId="23" w16cid:durableId="1965573103">
    <w:abstractNumId w:val="16"/>
  </w:num>
  <w:num w:numId="24" w16cid:durableId="762798285">
    <w:abstractNumId w:val="19"/>
  </w:num>
  <w:num w:numId="25" w16cid:durableId="789514818">
    <w:abstractNumId w:val="15"/>
  </w:num>
  <w:num w:numId="26" w16cid:durableId="1491405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BA"/>
    <w:rsid w:val="0000048B"/>
    <w:rsid w:val="000260D2"/>
    <w:rsid w:val="00033B8C"/>
    <w:rsid w:val="000357C7"/>
    <w:rsid w:val="0005011D"/>
    <w:rsid w:val="00055E3A"/>
    <w:rsid w:val="00057BB8"/>
    <w:rsid w:val="000659F3"/>
    <w:rsid w:val="000727A4"/>
    <w:rsid w:val="00080B51"/>
    <w:rsid w:val="00091096"/>
    <w:rsid w:val="00094F5A"/>
    <w:rsid w:val="000A6576"/>
    <w:rsid w:val="000A6DEA"/>
    <w:rsid w:val="000B4E43"/>
    <w:rsid w:val="000B6DDE"/>
    <w:rsid w:val="000C3829"/>
    <w:rsid w:val="000C7F7C"/>
    <w:rsid w:val="000D5DB0"/>
    <w:rsid w:val="000E2D13"/>
    <w:rsid w:val="000E6935"/>
    <w:rsid w:val="00123F02"/>
    <w:rsid w:val="00130A5E"/>
    <w:rsid w:val="0013466C"/>
    <w:rsid w:val="001418E6"/>
    <w:rsid w:val="001566C7"/>
    <w:rsid w:val="001746DF"/>
    <w:rsid w:val="00174E74"/>
    <w:rsid w:val="00180C9C"/>
    <w:rsid w:val="00194D0B"/>
    <w:rsid w:val="00194F6D"/>
    <w:rsid w:val="001A2CFB"/>
    <w:rsid w:val="001A5615"/>
    <w:rsid w:val="00215E7B"/>
    <w:rsid w:val="002354A9"/>
    <w:rsid w:val="002439FE"/>
    <w:rsid w:val="002473D7"/>
    <w:rsid w:val="0025201B"/>
    <w:rsid w:val="00275169"/>
    <w:rsid w:val="002760FA"/>
    <w:rsid w:val="00277BBA"/>
    <w:rsid w:val="00282D65"/>
    <w:rsid w:val="0028510B"/>
    <w:rsid w:val="002865F3"/>
    <w:rsid w:val="002905F4"/>
    <w:rsid w:val="00290D00"/>
    <w:rsid w:val="002937A1"/>
    <w:rsid w:val="002D3B8F"/>
    <w:rsid w:val="002D6E47"/>
    <w:rsid w:val="002E474A"/>
    <w:rsid w:val="002E6D80"/>
    <w:rsid w:val="002F6085"/>
    <w:rsid w:val="00304311"/>
    <w:rsid w:val="003146B6"/>
    <w:rsid w:val="0031625C"/>
    <w:rsid w:val="00317BD2"/>
    <w:rsid w:val="00332385"/>
    <w:rsid w:val="00335065"/>
    <w:rsid w:val="003371B3"/>
    <w:rsid w:val="0034183B"/>
    <w:rsid w:val="00342605"/>
    <w:rsid w:val="00370EF5"/>
    <w:rsid w:val="00375220"/>
    <w:rsid w:val="003803CF"/>
    <w:rsid w:val="0038642B"/>
    <w:rsid w:val="00391250"/>
    <w:rsid w:val="003A53DD"/>
    <w:rsid w:val="003A575E"/>
    <w:rsid w:val="003A5A76"/>
    <w:rsid w:val="003F0273"/>
    <w:rsid w:val="00413CC5"/>
    <w:rsid w:val="00414D9D"/>
    <w:rsid w:val="00436DB8"/>
    <w:rsid w:val="00450C60"/>
    <w:rsid w:val="00456217"/>
    <w:rsid w:val="00475482"/>
    <w:rsid w:val="004835D7"/>
    <w:rsid w:val="004B355E"/>
    <w:rsid w:val="004B6282"/>
    <w:rsid w:val="004D0732"/>
    <w:rsid w:val="004D13BA"/>
    <w:rsid w:val="004F1957"/>
    <w:rsid w:val="005110F4"/>
    <w:rsid w:val="00514180"/>
    <w:rsid w:val="00516FA0"/>
    <w:rsid w:val="00543E87"/>
    <w:rsid w:val="00547552"/>
    <w:rsid w:val="005659CF"/>
    <w:rsid w:val="00581947"/>
    <w:rsid w:val="00583666"/>
    <w:rsid w:val="00585669"/>
    <w:rsid w:val="005A0CBB"/>
    <w:rsid w:val="005A1E93"/>
    <w:rsid w:val="005A590E"/>
    <w:rsid w:val="005B0A16"/>
    <w:rsid w:val="005B1C4E"/>
    <w:rsid w:val="005D2A47"/>
    <w:rsid w:val="005E41C8"/>
    <w:rsid w:val="00607D91"/>
    <w:rsid w:val="00614778"/>
    <w:rsid w:val="006277B2"/>
    <w:rsid w:val="0063672E"/>
    <w:rsid w:val="0064468D"/>
    <w:rsid w:val="006460C1"/>
    <w:rsid w:val="00650DCC"/>
    <w:rsid w:val="00666AB2"/>
    <w:rsid w:val="00684A03"/>
    <w:rsid w:val="006B2CAF"/>
    <w:rsid w:val="006B2F9A"/>
    <w:rsid w:val="006C05F4"/>
    <w:rsid w:val="006C0906"/>
    <w:rsid w:val="006D4C34"/>
    <w:rsid w:val="006D7AC9"/>
    <w:rsid w:val="0070608C"/>
    <w:rsid w:val="0071147F"/>
    <w:rsid w:val="00720C92"/>
    <w:rsid w:val="0073018D"/>
    <w:rsid w:val="00730AD5"/>
    <w:rsid w:val="007368D3"/>
    <w:rsid w:val="007514B0"/>
    <w:rsid w:val="0075200C"/>
    <w:rsid w:val="00752678"/>
    <w:rsid w:val="00755255"/>
    <w:rsid w:val="00760149"/>
    <w:rsid w:val="00765254"/>
    <w:rsid w:val="00767CE2"/>
    <w:rsid w:val="007867A2"/>
    <w:rsid w:val="007A374C"/>
    <w:rsid w:val="007A3CF0"/>
    <w:rsid w:val="007C6A82"/>
    <w:rsid w:val="007E02E7"/>
    <w:rsid w:val="007E24BF"/>
    <w:rsid w:val="00814056"/>
    <w:rsid w:val="00827077"/>
    <w:rsid w:val="00831AC7"/>
    <w:rsid w:val="00831CF0"/>
    <w:rsid w:val="00854CA7"/>
    <w:rsid w:val="0085623A"/>
    <w:rsid w:val="00856A75"/>
    <w:rsid w:val="0086147C"/>
    <w:rsid w:val="00871FEF"/>
    <w:rsid w:val="00875140"/>
    <w:rsid w:val="008825FC"/>
    <w:rsid w:val="008853C2"/>
    <w:rsid w:val="008D076E"/>
    <w:rsid w:val="008D3DEC"/>
    <w:rsid w:val="008E7101"/>
    <w:rsid w:val="008F23CE"/>
    <w:rsid w:val="008F59DC"/>
    <w:rsid w:val="00916379"/>
    <w:rsid w:val="00924CB2"/>
    <w:rsid w:val="009512E8"/>
    <w:rsid w:val="0095235E"/>
    <w:rsid w:val="0095705E"/>
    <w:rsid w:val="00961C36"/>
    <w:rsid w:val="00966DB5"/>
    <w:rsid w:val="00974B40"/>
    <w:rsid w:val="00981783"/>
    <w:rsid w:val="009900AF"/>
    <w:rsid w:val="00992A70"/>
    <w:rsid w:val="00992B0A"/>
    <w:rsid w:val="009A0432"/>
    <w:rsid w:val="009A7E86"/>
    <w:rsid w:val="009E3D36"/>
    <w:rsid w:val="009E50F3"/>
    <w:rsid w:val="009E5DA0"/>
    <w:rsid w:val="00A22B3B"/>
    <w:rsid w:val="00A2469C"/>
    <w:rsid w:val="00A332EA"/>
    <w:rsid w:val="00A35134"/>
    <w:rsid w:val="00A35899"/>
    <w:rsid w:val="00A36264"/>
    <w:rsid w:val="00A414F5"/>
    <w:rsid w:val="00A46335"/>
    <w:rsid w:val="00A62CD6"/>
    <w:rsid w:val="00A64ADD"/>
    <w:rsid w:val="00A70785"/>
    <w:rsid w:val="00A75903"/>
    <w:rsid w:val="00A9617E"/>
    <w:rsid w:val="00A96381"/>
    <w:rsid w:val="00AD4BCA"/>
    <w:rsid w:val="00AF0840"/>
    <w:rsid w:val="00AF798D"/>
    <w:rsid w:val="00B1766C"/>
    <w:rsid w:val="00B20158"/>
    <w:rsid w:val="00B21207"/>
    <w:rsid w:val="00B23F61"/>
    <w:rsid w:val="00B25B02"/>
    <w:rsid w:val="00B25B5F"/>
    <w:rsid w:val="00B26F33"/>
    <w:rsid w:val="00B73164"/>
    <w:rsid w:val="00B86750"/>
    <w:rsid w:val="00B97AE6"/>
    <w:rsid w:val="00BA050B"/>
    <w:rsid w:val="00BA6BEF"/>
    <w:rsid w:val="00BC0A8B"/>
    <w:rsid w:val="00BD6901"/>
    <w:rsid w:val="00BE1C7C"/>
    <w:rsid w:val="00BE665F"/>
    <w:rsid w:val="00BE7607"/>
    <w:rsid w:val="00C35A11"/>
    <w:rsid w:val="00C418D1"/>
    <w:rsid w:val="00C565D0"/>
    <w:rsid w:val="00C577E9"/>
    <w:rsid w:val="00C641B4"/>
    <w:rsid w:val="00C76450"/>
    <w:rsid w:val="00C923DE"/>
    <w:rsid w:val="00CA2C41"/>
    <w:rsid w:val="00CA357A"/>
    <w:rsid w:val="00CC567B"/>
    <w:rsid w:val="00CD223A"/>
    <w:rsid w:val="00CE4808"/>
    <w:rsid w:val="00CF4DAE"/>
    <w:rsid w:val="00D22A71"/>
    <w:rsid w:val="00D42B4A"/>
    <w:rsid w:val="00D51452"/>
    <w:rsid w:val="00D53182"/>
    <w:rsid w:val="00D60739"/>
    <w:rsid w:val="00D61AE3"/>
    <w:rsid w:val="00D664DA"/>
    <w:rsid w:val="00D676FE"/>
    <w:rsid w:val="00D82319"/>
    <w:rsid w:val="00D843AC"/>
    <w:rsid w:val="00D95CB5"/>
    <w:rsid w:val="00D9649A"/>
    <w:rsid w:val="00DA2510"/>
    <w:rsid w:val="00DA3550"/>
    <w:rsid w:val="00DA6864"/>
    <w:rsid w:val="00DB57A0"/>
    <w:rsid w:val="00DB76AC"/>
    <w:rsid w:val="00DE5B9F"/>
    <w:rsid w:val="00DF1F2F"/>
    <w:rsid w:val="00DF73F9"/>
    <w:rsid w:val="00E071CD"/>
    <w:rsid w:val="00E10C08"/>
    <w:rsid w:val="00E11AC2"/>
    <w:rsid w:val="00E15766"/>
    <w:rsid w:val="00E26F70"/>
    <w:rsid w:val="00E4456B"/>
    <w:rsid w:val="00E46063"/>
    <w:rsid w:val="00E65F1B"/>
    <w:rsid w:val="00E73FEA"/>
    <w:rsid w:val="00E8447C"/>
    <w:rsid w:val="00E913B9"/>
    <w:rsid w:val="00EB0E6A"/>
    <w:rsid w:val="00EB2B96"/>
    <w:rsid w:val="00EB7C95"/>
    <w:rsid w:val="00ED031E"/>
    <w:rsid w:val="00ED227F"/>
    <w:rsid w:val="00EE5EFF"/>
    <w:rsid w:val="00EF644F"/>
    <w:rsid w:val="00EF799C"/>
    <w:rsid w:val="00F112D3"/>
    <w:rsid w:val="00F14093"/>
    <w:rsid w:val="00F32661"/>
    <w:rsid w:val="00F45B2B"/>
    <w:rsid w:val="00F4708B"/>
    <w:rsid w:val="00F570B9"/>
    <w:rsid w:val="00F6310C"/>
    <w:rsid w:val="00F863AE"/>
    <w:rsid w:val="00FA138F"/>
    <w:rsid w:val="00FB7CF1"/>
    <w:rsid w:val="00FB7FF7"/>
    <w:rsid w:val="00FC1EF8"/>
    <w:rsid w:val="00FC7987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1DEDA570"/>
  <w15:docId w15:val="{31CDAB06-D38F-4D34-84C2-8DD0563E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pacing w:line="480" w:lineRule="atLeast"/>
      <w:jc w:val="center"/>
      <w:outlineLvl w:val="0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sid w:val="009A0432"/>
    <w:rPr>
      <w:rFonts w:ascii="Courier New" w:hAnsi="Courier New" w:cs="Courier New"/>
      <w:sz w:val="20"/>
    </w:rPr>
  </w:style>
  <w:style w:type="paragraph" w:styleId="BalloonText">
    <w:name w:val="Balloon Text"/>
    <w:basedOn w:val="Normal"/>
    <w:link w:val="BalloonTextChar"/>
    <w:rsid w:val="00EE5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5E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25B5F"/>
    <w:rPr>
      <w:sz w:val="16"/>
      <w:szCs w:val="16"/>
    </w:rPr>
  </w:style>
  <w:style w:type="paragraph" w:styleId="CommentText">
    <w:name w:val="annotation text"/>
    <w:basedOn w:val="Normal"/>
    <w:semiHidden/>
    <w:rsid w:val="00B25B5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5B5F"/>
    <w:rPr>
      <w:b/>
      <w:bCs/>
    </w:rPr>
  </w:style>
  <w:style w:type="character" w:customStyle="1" w:styleId="HeaderChar">
    <w:name w:val="Header Char"/>
    <w:link w:val="Header"/>
    <w:uiPriority w:val="99"/>
    <w:rsid w:val="002E474A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2E474A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C09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A8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760F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DOT.ConsultantInsurance@nebrask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template\Ag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BE8952D-2294-49EC-832D-8EAC85A5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</Template>
  <TotalTime>2</TotalTime>
  <Pages>4</Pages>
  <Words>1056</Words>
  <Characters>5771</Characters>
  <Application>Microsoft Office Word</Application>
  <DocSecurity>0</DocSecurity>
  <Lines>121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NONDISCRIMINATION CLAUSES</vt:lpstr>
    </vt:vector>
  </TitlesOfParts>
  <Company>Nebraska Dept of Roads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NONDISCRIMINATION CLAUSES</dc:title>
  <dc:creator>Dawn Knott</dc:creator>
  <cp:lastModifiedBy>Rockemann, Jared</cp:lastModifiedBy>
  <cp:revision>3</cp:revision>
  <cp:lastPrinted>2010-12-06T13:09:00Z</cp:lastPrinted>
  <dcterms:created xsi:type="dcterms:W3CDTF">2026-04-01T13:52:00Z</dcterms:created>
  <dcterms:modified xsi:type="dcterms:W3CDTF">2026-04-01T13:54:00Z</dcterms:modified>
</cp:coreProperties>
</file>